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media/image1.png" ContentType="image/png"/>
  <Override PartName="/word/media/image2.png" ContentType="image/png"/>
  <Override PartName="/word/media/image3.png" ContentType="image/png"/>
  <Override PartName="/word/media/image9.jpeg" ContentType="image/jpeg"/>
  <Override PartName="/word/media/image4.png" ContentType="image/png"/>
  <Override PartName="/word/media/image5.jpeg" ContentType="image/jpeg"/>
  <Override PartName="/word/media/image10.jpeg" ContentType="image/jpeg"/>
  <Override PartName="/word/media/image6.jpeg" ContentType="image/jpeg"/>
  <Override PartName="/word/media/image7.jpeg" ContentType="image/jpeg"/>
  <Override PartName="/word/media/image8.jpeg" ContentType="image/jpeg"/>
  <Override PartName="/word/embeddings/_____Microsoft_Excel1.xlsx" ContentType="application/vnd.openxmlformats-officedocument.spreadsheetml.sheet"/>
  <Override PartName="/word/embeddings/_____Microsoft_Excel2.xlsx" ContentType="application/vnd.openxmlformats-officedocument.spreadsheetml.sheet"/>
  <Override PartName="/word/embeddings/_____Microsoft_Excel3.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charts/_rels/chart3.xml.rels" ContentType="application/vnd.openxmlformats-package.relationships+xml"/>
  <Override PartName="/word/charts/_rels/chart2.xml.rels" ContentType="application/vnd.openxmlformats-package.relationships+xml"/>
  <Override PartName="/word/charts/_rels/chart1.xml.rels" ContentType="application/vnd.openxmlformats-package.relationship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ind w:hanging="0" w:left="-709" w:right="-142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  <w:r>
        <w:rPr>
          <w:b/>
          <w:szCs w:val="28"/>
        </w:rPr>
        <w:t>Администрация губернатора Пермского края</w:t>
      </w:r>
    </w:p>
    <w:p>
      <w:pPr>
        <w:pStyle w:val="Normal"/>
        <w:spacing w:lineRule="auto" w:line="240"/>
        <w:ind w:hanging="0" w:left="-709" w:right="-142"/>
        <w:jc w:val="center"/>
        <w:rPr>
          <w:szCs w:val="28"/>
        </w:rPr>
      </w:pPr>
      <w:r>
        <w:rPr>
          <w:szCs w:val="28"/>
        </w:rPr>
        <w:t>Отдел по профилактике коррупционных и иных правонарушений</w:t>
      </w:r>
    </w:p>
    <w:p>
      <w:pPr>
        <w:pStyle w:val="Normal"/>
        <w:spacing w:lineRule="auto" w:line="240"/>
        <w:ind w:hanging="0" w:left="-709" w:right="-142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Normal"/>
        <w:spacing w:lineRule="auto" w:line="240"/>
        <w:ind w:hanging="0" w:left="-709" w:right="-142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Normal"/>
        <w:ind w:hanging="0" w:left="-709" w:right="-142"/>
        <w:jc w:val="center"/>
        <w:rPr>
          <w:b/>
          <w:szCs w:val="28"/>
        </w:rPr>
      </w:pPr>
      <w:r>
        <w:rPr>
          <w:b/>
          <w:szCs w:val="28"/>
        </w:rPr>
      </w:r>
    </w:p>
    <w:tbl>
      <w:tblPr>
        <w:tblW w:w="9958" w:type="dxa"/>
        <w:jc w:val="left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58"/>
      </w:tblGrid>
      <w:tr>
        <w:trPr/>
        <w:tc>
          <w:tcPr>
            <w:tcW w:w="9958" w:type="dxa"/>
            <w:tcBorders/>
            <w:shd w:color="auto" w:fill="auto" w:val="clear"/>
          </w:tcPr>
          <w:p>
            <w:pPr>
              <w:pStyle w:val="Normal"/>
              <w:ind w:hanging="0" w:left="-709" w:right="-142"/>
              <w:jc w:val="center"/>
              <w:rPr>
                <w:rFonts w:ascii="Calibri" w:hAnsi="Calibri"/>
                <w:szCs w:val="28"/>
              </w:rPr>
            </w:pPr>
            <w:r>
              <w:rPr>
                <w:rFonts w:ascii="Calibri" w:hAnsi="Calibri"/>
                <w:szCs w:val="28"/>
              </w:rPr>
              <w:drawing>
                <wp:anchor behindDoc="0" distT="0" distB="0" distL="114300" distR="114300" simplePos="0" locked="0" layoutInCell="1" allowOverlap="1" relativeHeight="4">
                  <wp:simplePos x="0" y="0"/>
                  <wp:positionH relativeFrom="column">
                    <wp:posOffset>3006090</wp:posOffset>
                  </wp:positionH>
                  <wp:positionV relativeFrom="paragraph">
                    <wp:posOffset>-669925</wp:posOffset>
                  </wp:positionV>
                  <wp:extent cx="502285" cy="850265"/>
                  <wp:effectExtent l="0" t="0" r="0" b="0"/>
                  <wp:wrapTopAndBottom/>
                  <wp:docPr id="1" name="Рисунок 3" descr="logo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3" descr="logo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285" cy="850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pStyle w:val="Normal"/>
        <w:ind w:hanging="0" w:left="-709" w:right="-142"/>
        <w:rPr/>
      </w:pPr>
      <w:r>
        <w:rPr/>
      </w:r>
    </w:p>
    <w:p>
      <w:pPr>
        <w:pStyle w:val="BodyTextIndent2"/>
        <w:spacing w:lineRule="exact" w:line="360" w:before="0" w:after="0"/>
        <w:ind w:hanging="0" w:left="-709" w:right="-142"/>
        <w:jc w:val="right"/>
        <w:rPr/>
      </w:pPr>
      <w:r>
        <w:rPr/>
      </w:r>
    </w:p>
    <w:p>
      <w:pPr>
        <w:pStyle w:val="Normal"/>
        <w:ind w:firstLine="709" w:left="-709" w:right="-142"/>
        <w:jc w:val="center"/>
        <w:rPr/>
      </w:pPr>
      <w:r>
        <w:rPr/>
      </w:r>
    </w:p>
    <w:p>
      <w:pPr>
        <w:pStyle w:val="Normal"/>
        <w:ind w:firstLine="709" w:left="-709" w:right="-142"/>
        <w:jc w:val="center"/>
        <w:rPr/>
      </w:pPr>
      <w:r>
        <w:rPr/>
      </w:r>
    </w:p>
    <w:p>
      <w:pPr>
        <w:pStyle w:val="Normal"/>
        <w:ind w:firstLine="709" w:left="-709" w:right="-142"/>
        <w:jc w:val="center"/>
        <w:rPr/>
      </w:pPr>
      <w:r>
        <w:rPr/>
      </w:r>
    </w:p>
    <w:p>
      <w:pPr>
        <w:pStyle w:val="Normal"/>
        <w:ind w:firstLine="709" w:left="-709" w:right="-142"/>
        <w:jc w:val="center"/>
        <w:rPr/>
      </w:pPr>
      <w:r>
        <w:rPr/>
      </w:r>
    </w:p>
    <w:p>
      <w:pPr>
        <w:pStyle w:val="Normal"/>
        <w:ind w:firstLine="709" w:left="-709" w:right="-142"/>
        <w:jc w:val="center"/>
        <w:rPr/>
      </w:pPr>
      <w:r>
        <w:rPr/>
      </w:r>
    </w:p>
    <w:p>
      <w:pPr>
        <w:pStyle w:val="Normal"/>
        <w:spacing w:lineRule="exact" w:line="240" w:before="0" w:after="120"/>
        <w:ind w:hanging="0" w:left="-709" w:right="-142"/>
        <w:jc w:val="center"/>
        <w:rPr/>
      </w:pPr>
      <w:r>
        <w:rPr>
          <w:b/>
        </w:rPr>
        <w:t>ОТЧЕТ</w:t>
      </w:r>
    </w:p>
    <w:p>
      <w:pPr>
        <w:pStyle w:val="Normal"/>
        <w:spacing w:lineRule="exact" w:line="240"/>
        <w:ind w:hanging="0" w:left="-709" w:right="-142"/>
        <w:jc w:val="center"/>
        <w:rPr/>
      </w:pPr>
      <w:r>
        <w:rPr>
          <w:b/>
          <w:bCs/>
        </w:rPr>
        <w:t xml:space="preserve">о реализации мер антикоррупционной политики в Пермском крае </w:t>
        <w:br/>
      </w:r>
      <w:r>
        <w:rPr>
          <w:b/>
        </w:rPr>
        <w:t>за отчетный 2025 год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sz w:val="24"/>
        </w:rPr>
      </w:pPr>
      <w:r>
        <w:rPr>
          <w:sz w:val="24"/>
        </w:rPr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ind w:hanging="0"/>
        <w:jc w:val="center"/>
        <w:rPr>
          <w:bCs/>
          <w:sz w:val="24"/>
        </w:rPr>
      </w:pPr>
      <w:r>
        <w:rPr>
          <w:bCs/>
          <w:sz w:val="24"/>
        </w:rPr>
        <w:t>Пермь, 2026 г.</w:t>
      </w:r>
      <w:r>
        <w:br w:type="page"/>
      </w:r>
    </w:p>
    <w:p>
      <w:pPr>
        <w:pStyle w:val="Normal"/>
        <w:spacing w:before="0" w:after="0"/>
        <w:rPr>
          <w:color w:val="FF0000"/>
        </w:rPr>
      </w:pPr>
      <w:r>
        <w:rPr/>
        <w:t xml:space="preserve">Настоящий отчет подготовлен отделом по профилактике коррупционных и иных правонарушений Администрации губернатора Пермского края в соответствии с Порядком проведения антикоррупционного мониторинга в Пермском крае, утвержденным указом губернатора Пермского края от 05 мая 2016 г. № 67, указом губернатора Пермского края </w:t>
        <w:br/>
      </w:r>
      <w:r>
        <w:rPr>
          <w:sz w:val="28"/>
          <w:szCs w:val="28"/>
        </w:rPr>
        <w:t>от 27 января 2025 г. № 4</w:t>
      </w:r>
      <w:r>
        <w:rPr/>
        <w:t xml:space="preserve"> «Об утверждении Программы противодействия коррупции в Пермском крае на 2025-2028 годы» и Планом противодействия коррупции на 2025 – 2028 годы в Администрации губернатора Пермского края, утвержденным распоряжением руководителя Администрации губернатора от 14 апреля 2025 г. № 63-ра, на основании сведений, представленных подразделениями (должностными лицами) по профилактике коррупционных и иных правонарушений органов государственной власти Пермского края, иных государственных органов Пермского края, а также органов местного самоуправления муниципальных образований Пермского края за отчетный 2025 год.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/>
      </w:pPr>
      <w:r>
        <w:rPr>
          <w:color w:val="FF0000"/>
        </w:rPr>
        <w:t xml:space="preserve"> </w:t>
      </w:r>
    </w:p>
    <w:tbl>
      <w:tblPr>
        <w:tblpPr w:vertAnchor="text" w:horzAnchor="margin" w:leftFromText="180" w:rightFromText="180" w:tblpX="0" w:tblpY="-37"/>
        <w:tblW w:w="9747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388"/>
        <w:gridCol w:w="7358"/>
      </w:tblGrid>
      <w:tr>
        <w:trPr/>
        <w:tc>
          <w:tcPr>
            <w:tcW w:w="9746" w:type="dxa"/>
            <w:gridSpan w:val="2"/>
            <w:tcBorders/>
            <w:shd w:color="auto" w:fill="auto" w:val="clear"/>
          </w:tcPr>
          <w:p>
            <w:pPr>
              <w:pStyle w:val="Normal"/>
              <w:spacing w:lineRule="auto" w:line="240"/>
              <w:ind w:hanging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  <w:p>
            <w:pPr>
              <w:pStyle w:val="Normal"/>
              <w:spacing w:lineRule="auto" w:line="240"/>
              <w:ind w:hanging="0"/>
              <w:rPr>
                <w:b/>
              </w:rPr>
            </w:pPr>
            <w:r>
              <w:rPr>
                <w:b/>
              </w:rPr>
              <w:t>Применяемые сокращения:</w:t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/>
            </w:r>
          </w:p>
        </w:tc>
      </w:tr>
      <w:tr>
        <w:trPr/>
        <w:tc>
          <w:tcPr>
            <w:tcW w:w="2388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120"/>
              <w:ind w:hanging="0"/>
              <w:rPr>
                <w:b/>
              </w:rPr>
            </w:pPr>
            <w:r>
              <w:rPr>
                <w:b/>
              </w:rPr>
              <w:t>Администрация губернатора</w:t>
            </w:r>
          </w:p>
        </w:tc>
        <w:tc>
          <w:tcPr>
            <w:tcW w:w="7358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120"/>
              <w:ind w:hanging="0"/>
              <w:rPr/>
            </w:pPr>
            <w:r>
              <w:rPr/>
              <w:t>Администрация губернатора Пермского края</w:t>
            </w:r>
          </w:p>
        </w:tc>
      </w:tr>
      <w:tr>
        <w:trPr/>
        <w:tc>
          <w:tcPr>
            <w:tcW w:w="2388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120"/>
              <w:ind w:hanging="0"/>
              <w:rPr>
                <w:b/>
              </w:rPr>
            </w:pPr>
            <w:r>
              <w:rPr>
                <w:b/>
              </w:rPr>
              <w:t>ГИС «Посейдон»</w:t>
            </w:r>
          </w:p>
        </w:tc>
        <w:tc>
          <w:tcPr>
            <w:tcW w:w="7358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120"/>
              <w:ind w:hanging="0"/>
              <w:rPr/>
            </w:pPr>
            <w:r>
              <w:rPr/>
              <w:t>Государственная информационная система в области противодействия коррупции «Посейдон»</w:t>
            </w:r>
          </w:p>
        </w:tc>
      </w:tr>
      <w:tr>
        <w:trPr/>
        <w:tc>
          <w:tcPr>
            <w:tcW w:w="2388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120"/>
              <w:ind w:hanging="0"/>
              <w:rPr>
                <w:b/>
              </w:rPr>
            </w:pPr>
            <w:r>
              <w:rPr>
                <w:b/>
              </w:rPr>
              <w:t>гражданский служащий</w:t>
            </w:r>
          </w:p>
        </w:tc>
        <w:tc>
          <w:tcPr>
            <w:tcW w:w="7358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120"/>
              <w:ind w:hanging="0"/>
              <w:rPr>
                <w:b/>
              </w:rPr>
            </w:pPr>
            <w:r>
              <w:rPr/>
              <w:t>государственный гражданский служащий Пермского края</w:t>
            </w:r>
          </w:p>
        </w:tc>
      </w:tr>
      <w:tr>
        <w:trPr/>
        <w:tc>
          <w:tcPr>
            <w:tcW w:w="2388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120"/>
              <w:ind w:hanging="0"/>
              <w:rPr>
                <w:b/>
              </w:rPr>
            </w:pPr>
            <w:r>
              <w:rPr>
                <w:b/>
              </w:rPr>
              <w:t>государственные органы или ГО</w:t>
            </w:r>
          </w:p>
        </w:tc>
        <w:tc>
          <w:tcPr>
            <w:tcW w:w="7358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120"/>
              <w:ind w:hanging="0" w:right="-142"/>
              <w:rPr/>
            </w:pPr>
            <w:r>
              <w:rPr/>
              <w:t>органы государственной власти Пермского края, иные государственные органы Пермского края</w:t>
            </w:r>
          </w:p>
        </w:tc>
      </w:tr>
      <w:tr>
        <w:trPr/>
        <w:tc>
          <w:tcPr>
            <w:tcW w:w="2388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120"/>
              <w:ind w:hanging="0"/>
              <w:rPr>
                <w:b/>
              </w:rPr>
            </w:pPr>
            <w:r>
              <w:rPr>
                <w:b/>
              </w:rPr>
              <w:t>ИОГВ</w:t>
            </w:r>
          </w:p>
        </w:tc>
        <w:tc>
          <w:tcPr>
            <w:tcW w:w="7358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120"/>
              <w:ind w:hanging="0"/>
              <w:rPr>
                <w:b/>
              </w:rPr>
            </w:pPr>
            <w:r>
              <w:rPr/>
              <w:t>исполнительные органы государственной власти Пермского края</w:t>
            </w:r>
          </w:p>
        </w:tc>
      </w:tr>
      <w:tr>
        <w:trPr/>
        <w:tc>
          <w:tcPr>
            <w:tcW w:w="2388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120"/>
              <w:ind w:hanging="0"/>
              <w:rPr>
                <w:b/>
              </w:rPr>
            </w:pPr>
            <w:r>
              <w:rPr>
                <w:b/>
              </w:rPr>
              <w:t>край</w:t>
            </w:r>
          </w:p>
        </w:tc>
        <w:tc>
          <w:tcPr>
            <w:tcW w:w="7358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120"/>
              <w:ind w:hanging="0"/>
              <w:rPr/>
            </w:pPr>
            <w:r>
              <w:rPr/>
              <w:t>Пермский край</w:t>
            </w:r>
          </w:p>
        </w:tc>
      </w:tr>
      <w:tr>
        <w:trPr/>
        <w:tc>
          <w:tcPr>
            <w:tcW w:w="2388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120"/>
              <w:ind w:hanging="0"/>
              <w:rPr>
                <w:b/>
              </w:rPr>
            </w:pPr>
            <w:r>
              <w:rPr>
                <w:b/>
              </w:rPr>
              <w:t>ЛЗГД</w:t>
            </w:r>
          </w:p>
        </w:tc>
        <w:tc>
          <w:tcPr>
            <w:tcW w:w="7358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120"/>
              <w:ind w:hanging="0"/>
              <w:rPr/>
            </w:pPr>
            <w:r>
              <w:rPr/>
              <w:t>лица, замещающие государственные должности</w:t>
            </w:r>
          </w:p>
        </w:tc>
      </w:tr>
      <w:tr>
        <w:trPr/>
        <w:tc>
          <w:tcPr>
            <w:tcW w:w="2388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120"/>
              <w:ind w:hanging="0"/>
              <w:rPr>
                <w:b/>
              </w:rPr>
            </w:pPr>
            <w:r>
              <w:rPr>
                <w:b/>
              </w:rPr>
              <w:t>ЛЗМД</w:t>
            </w:r>
          </w:p>
        </w:tc>
        <w:tc>
          <w:tcPr>
            <w:tcW w:w="7358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120"/>
              <w:ind w:hanging="0"/>
              <w:rPr/>
            </w:pPr>
            <w:r>
              <w:rPr/>
              <w:t>лица, замещающие муниципальные должности</w:t>
            </w:r>
          </w:p>
        </w:tc>
      </w:tr>
      <w:tr>
        <w:trPr/>
        <w:tc>
          <w:tcPr>
            <w:tcW w:w="2388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120"/>
              <w:ind w:hanging="0"/>
              <w:rPr>
                <w:b/>
              </w:rPr>
            </w:pPr>
            <w:r>
              <w:rPr>
                <w:b/>
              </w:rPr>
              <w:t>муниципальные органы или ОМСУ</w:t>
            </w:r>
          </w:p>
        </w:tc>
        <w:tc>
          <w:tcPr>
            <w:tcW w:w="7358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120"/>
              <w:ind w:hanging="0"/>
              <w:rPr/>
            </w:pPr>
            <w:r>
              <w:rPr/>
              <w:t>органы местного самоуправления муниципальных образований Пермского края</w:t>
            </w:r>
          </w:p>
        </w:tc>
      </w:tr>
      <w:tr>
        <w:trPr/>
        <w:tc>
          <w:tcPr>
            <w:tcW w:w="2388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120"/>
              <w:ind w:hanging="0"/>
              <w:rPr>
                <w:b/>
              </w:rPr>
            </w:pPr>
            <w:r>
              <w:rPr>
                <w:b/>
              </w:rPr>
              <w:t>муниципальный служащий</w:t>
            </w:r>
          </w:p>
        </w:tc>
        <w:tc>
          <w:tcPr>
            <w:tcW w:w="7358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120"/>
              <w:ind w:hanging="0"/>
              <w:rPr/>
            </w:pPr>
            <w:r>
              <w:rPr/>
              <w:t>муниципальный служащий в Пермском крае</w:t>
            </w:r>
          </w:p>
        </w:tc>
      </w:tr>
      <w:tr>
        <w:trPr/>
        <w:tc>
          <w:tcPr>
            <w:tcW w:w="2388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120"/>
              <w:ind w:hanging="0"/>
              <w:rPr>
                <w:b/>
              </w:rPr>
            </w:pPr>
            <w:r>
              <w:rPr>
                <w:b/>
              </w:rPr>
              <w:t>обязанные лица</w:t>
            </w:r>
          </w:p>
        </w:tc>
        <w:tc>
          <w:tcPr>
            <w:tcW w:w="7358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120"/>
              <w:ind w:hanging="0"/>
              <w:rPr/>
            </w:pPr>
            <w:r>
              <w:rPr/>
              <w:t xml:space="preserve">лица, в чьи обязанности входит представление сведений </w:t>
              <w:br/>
              <w:t>о доходах, расходах, об имуществе и обязательствах имущественного характера</w:t>
            </w:r>
          </w:p>
        </w:tc>
      </w:tr>
      <w:tr>
        <w:trPr/>
        <w:tc>
          <w:tcPr>
            <w:tcW w:w="2388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120"/>
              <w:ind w:hanging="0"/>
              <w:rPr>
                <w:b/>
              </w:rPr>
            </w:pPr>
            <w:r>
              <w:rPr>
                <w:b/>
              </w:rPr>
              <w:t>ОПКиИП</w:t>
            </w:r>
          </w:p>
        </w:tc>
        <w:tc>
          <w:tcPr>
            <w:tcW w:w="7358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120"/>
              <w:ind w:hanging="0"/>
              <w:rPr/>
            </w:pPr>
            <w:r>
              <w:rPr/>
              <w:t>отдел по профилактике коррупционных и иных правонарушений Администрации губернатора Пермского края</w:t>
            </w:r>
          </w:p>
        </w:tc>
      </w:tr>
      <w:tr>
        <w:trPr/>
        <w:tc>
          <w:tcPr>
            <w:tcW w:w="2388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120"/>
              <w:ind w:hanging="0"/>
              <w:rPr>
                <w:b/>
              </w:rPr>
            </w:pPr>
            <w:r>
              <w:rPr>
                <w:b/>
              </w:rPr>
              <w:t>РФ</w:t>
            </w:r>
          </w:p>
        </w:tc>
        <w:tc>
          <w:tcPr>
            <w:tcW w:w="7358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120"/>
              <w:ind w:hanging="0"/>
              <w:rPr/>
            </w:pPr>
            <w:r>
              <w:rPr/>
              <w:t>Российская Федерация</w:t>
            </w:r>
          </w:p>
        </w:tc>
      </w:tr>
      <w:tr>
        <w:trPr/>
        <w:tc>
          <w:tcPr>
            <w:tcW w:w="2388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120"/>
              <w:ind w:hanging="0"/>
              <w:rPr>
                <w:b/>
                <w:bCs/>
              </w:rPr>
            </w:pPr>
            <w:r>
              <w:rPr>
                <w:b/>
                <w:bCs/>
              </w:rPr>
              <w:t xml:space="preserve">сведения </w:t>
              <w:br/>
              <w:t>о доходах</w:t>
            </w:r>
          </w:p>
        </w:tc>
        <w:tc>
          <w:tcPr>
            <w:tcW w:w="7358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120"/>
              <w:ind w:hanging="0"/>
              <w:rPr/>
            </w:pPr>
            <w:r>
              <w:rPr/>
              <w:t>сведения о доходах, расходах, об имуществе</w:t>
              <w:br/>
              <w:t>и обязательствах имущественного характера</w:t>
            </w:r>
          </w:p>
        </w:tc>
      </w:tr>
    </w:tbl>
    <w:p>
      <w:pPr>
        <w:pStyle w:val="BodyTextIndent2"/>
        <w:spacing w:lineRule="exact" w:line="360" w:before="0" w:after="0"/>
        <w:ind w:firstLine="720" w:right="6"/>
        <w:rPr/>
      </w:pPr>
      <w:r>
        <w:rPr/>
      </w:r>
    </w:p>
    <w:p>
      <w:pPr>
        <w:pStyle w:val="Normal"/>
        <w:jc w:val="center"/>
        <w:rPr/>
      </w:pPr>
      <w:r>
        <w:rPr/>
      </w:r>
      <w:bookmarkStart w:id="0" w:name="_Toc415839388"/>
      <w:bookmarkStart w:id="1" w:name="_Toc415839401"/>
      <w:bookmarkStart w:id="2" w:name="_Toc415839388"/>
      <w:bookmarkStart w:id="3" w:name="_Toc415839401"/>
      <w:bookmarkEnd w:id="2"/>
      <w:bookmarkEnd w:id="3"/>
      <w:r>
        <w:br w:type="page"/>
      </w:r>
    </w:p>
    <w:p>
      <w:pPr>
        <w:pStyle w:val="Normal"/>
        <w:spacing w:before="0" w:after="0"/>
        <w:ind w:hanging="0"/>
        <w:jc w:val="center"/>
        <w:rPr>
          <w:highlight w:val="none"/>
          <w:shd w:fill="auto" w:val="clear"/>
        </w:rPr>
      </w:pPr>
      <w:r>
        <w:rPr>
          <w:b/>
          <w:shd w:fill="auto" w:val="clear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rPr>
              <w:rFonts w:ascii="Calibri" w:hAnsi="Calibri"/>
              <w:sz w:val="22"/>
              <w:szCs w:val="22"/>
              <w:highlight w:val="none"/>
              <w:shd w:fill="auto" w:val="clear"/>
            </w:rPr>
          </w:pPr>
          <w:r>
            <w:fldChar w:fldCharType="begin"/>
          </w:r>
          <w:r>
            <w:rPr>
              <w:sz w:val="22"/>
              <w:shd w:fill="auto" w:val="clear"/>
              <w:szCs w:val="22"/>
              <w:rFonts w:ascii="Calibri" w:hAnsi="Calibri"/>
            </w:rPr>
            <w:instrText xml:space="preserve"> TOC \z \o "1-3" \u \h</w:instrText>
          </w:r>
          <w:r>
            <w:rPr>
              <w:sz w:val="22"/>
              <w:shd w:fill="auto" w:val="clear"/>
              <w:szCs w:val="22"/>
              <w:rFonts w:ascii="Calibri" w:hAnsi="Calibri"/>
            </w:rPr>
            <w:fldChar w:fldCharType="separate"/>
          </w:r>
          <w:r>
            <w:rPr>
              <w:rFonts w:ascii="Calibri" w:hAnsi="Calibri"/>
              <w:sz w:val="22"/>
              <w:szCs w:val="22"/>
              <w:shd w:fill="auto" w:val="clear"/>
            </w:rPr>
          </w:r>
        </w:p>
        <w:p>
          <w:pPr>
            <w:pStyle w:val="TOC1"/>
            <w:rPr/>
          </w:pPr>
          <w:hyperlink w:anchor="_Toc46809377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_Toc468093779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5"/>
                <w:caps/>
                <w:vanish w:val="false"/>
                <w:shd w:fill="auto" w:val="clear"/>
              </w:rPr>
              <w:t>1.</w:t>
              <w:tab/>
              <w:t xml:space="preserve"> Организационное и нормаТивное сопровождение антикоррупционной деятельности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rPr/>
          </w:pPr>
          <w:hyperlink w:anchor="_Toc468093780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_Toc468093780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5"/>
                <w:vanish w:val="false"/>
                <w:shd w:fill="auto" w:val="clear"/>
              </w:rPr>
              <w:t>1.1. Нормативное правовое регулирование вопросов проведения антикоррупционной политики в Пермском крае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rPr/>
          </w:pPr>
          <w:hyperlink w:anchor="_Toc468093781">
            <w:r>
              <w:rPr>
                <w:webHidden/>
                <w:rStyle w:val="Style15"/>
                <w:vanish w:val="false"/>
                <w:color w:val="000000"/>
                <w:shd w:fill="auto" w:val="clear"/>
              </w:rPr>
              <w:t>1.2. Комиссия по координации работы по противодействию коррупции в Пермском крае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_Toc468093781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  <w:shd w:fill="auto" w:val="clear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rPr/>
          </w:pPr>
          <w:hyperlink w:anchor="_Toc468093782">
            <w:r>
              <w:rPr>
                <w:webHidden/>
                <w:rStyle w:val="Style15"/>
                <w:vanish w:val="false"/>
                <w:color w:val="000000"/>
                <w:shd w:fill="auto" w:val="clear"/>
              </w:rPr>
              <w:t>1.3. Программа противодействия коррупции в Пермском крае и планы по противодействию коррупции ГО и ОМСУ</w:t>
            </w:r>
            <w:r>
              <w:rPr>
                <w:rStyle w:val="Style15"/>
                <w:vanish w:val="false"/>
                <w:shd w:fill="auto" w:val="clear"/>
              </w:rPr>
              <w:tab/>
            </w:r>
          </w:hyperlink>
          <w:r>
            <w:rPr>
              <w:shd w:fill="auto" w:val="clear"/>
            </w:rPr>
            <w:t>7</w:t>
          </w:r>
        </w:p>
        <w:p>
          <w:pPr>
            <w:pStyle w:val="Normal"/>
            <w:rPr>
              <w:highlight w:val="none"/>
              <w:shd w:fill="auto" w:val="clear"/>
            </w:rPr>
          </w:pPr>
          <w:r>
            <w:rPr>
              <w:b/>
              <w:shd w:fill="auto" w:val="clear"/>
            </w:rPr>
            <w:t>2. КОНТРОЛЬ ЗА СОБЛЮДЕНИЕМ АНТИКОРРУПЦИОННЫХ ТРЕБОВАНИЙ</w:t>
          </w:r>
        </w:p>
        <w:p>
          <w:pPr>
            <w:pStyle w:val="TOC2"/>
            <w:rPr/>
          </w:pPr>
          <w:hyperlink w:anchor="_Toc468093783">
            <w:r>
              <w:rPr>
                <w:webHidden/>
                <w:rStyle w:val="Style15"/>
                <w:vanish w:val="false"/>
                <w:color w:val="000000"/>
                <w:shd w:fill="auto" w:val="clear"/>
              </w:rPr>
              <w:t>2.1. Сведения о доходах, представляемые в установленном порядке</w:t>
            </w:r>
            <w:r>
              <w:rPr>
                <w:rStyle w:val="Style15"/>
                <w:vanish w:val="false"/>
                <w:shd w:fill="auto" w:val="clear"/>
              </w:rPr>
              <w:tab/>
            </w:r>
          </w:hyperlink>
          <w:r>
            <w:rPr>
              <w:vanish w:val="false"/>
              <w:shd w:fill="auto" w:val="clear"/>
            </w:rPr>
            <w:t>9</w:t>
          </w:r>
        </w:p>
        <w:p>
          <w:pPr>
            <w:pStyle w:val="TOC2"/>
            <w:rPr/>
          </w:pPr>
          <w:hyperlink w:anchor="_Toc468093784">
            <w:r>
              <w:rPr>
                <w:webHidden/>
                <w:rStyle w:val="Style15"/>
                <w:vanish w:val="false"/>
                <w:color w:val="000000"/>
                <w:shd w:fill="auto" w:val="clear"/>
              </w:rPr>
              <w:t>2.2. Соблюдение гражданскими и муниципальными служащими ограничений, запретов, выполнение обязанностей, предусмотренных антикоррупционным законодательством</w:t>
            </w:r>
            <w:r>
              <w:rPr>
                <w:rStyle w:val="Style15"/>
                <w:vanish w:val="false"/>
                <w:shd w:fill="auto" w:val="clear"/>
              </w:rPr>
              <w:tab/>
              <w:t>1</w:t>
            </w:r>
          </w:hyperlink>
          <w:r>
            <w:rPr>
              <w:vanish w:val="false"/>
              <w:shd w:fill="auto" w:val="clear"/>
            </w:rPr>
            <w:t>2</w:t>
          </w:r>
        </w:p>
        <w:p>
          <w:pPr>
            <w:pStyle w:val="TOC2"/>
            <w:rPr/>
          </w:pPr>
          <w:hyperlink w:anchor="_Toc468093785">
            <w:r>
              <w:rPr>
                <w:webHidden/>
                <w:rStyle w:val="Style15"/>
                <w:vanish w:val="false"/>
                <w:color w:val="000000"/>
                <w:shd w:fill="auto" w:val="clear"/>
              </w:rPr>
              <w:t>2.3. Деятельность комиссий государственных и муниципальных органов по соблюдению требований к служебному поведению и урегулированию конфликта интересов</w:t>
            </w:r>
            <w:r>
              <w:rPr>
                <w:rStyle w:val="Style15"/>
                <w:vanish w:val="false"/>
                <w:shd w:fill="auto" w:val="clear"/>
              </w:rPr>
              <w:tab/>
              <w:t>1</w:t>
            </w:r>
          </w:hyperlink>
          <w:r>
            <w:rPr>
              <w:vanish w:val="false"/>
              <w:shd w:fill="auto" w:val="clear"/>
            </w:rPr>
            <w:t>3</w:t>
          </w:r>
        </w:p>
        <w:p>
          <w:pPr>
            <w:pStyle w:val="Normal"/>
            <w:rPr>
              <w:highlight w:val="none"/>
              <w:shd w:fill="auto" w:val="clear"/>
            </w:rPr>
          </w:pPr>
          <w:r>
            <w:rPr>
              <w:b/>
              <w:shd w:fill="auto" w:val="clear"/>
            </w:rPr>
            <w:t>3. АНТИКОРРУПЦИОННЫЕ ПРОСВЕЩЕНИЕ И ПРОПАГАНДА</w:t>
          </w:r>
        </w:p>
        <w:p>
          <w:pPr>
            <w:pStyle w:val="TOC2"/>
            <w:rPr/>
          </w:pPr>
          <w:hyperlink w:anchor="_Toc468093786">
            <w:r>
              <w:rPr>
                <w:webHidden/>
                <w:rStyle w:val="Style15"/>
                <w:vanish w:val="false"/>
                <w:color w:val="000000"/>
                <w:shd w:fill="auto" w:val="clear"/>
              </w:rPr>
              <w:t>3.1. Обучение по вопросам применения антикоррупционного законодательства</w:t>
            </w:r>
            <w:r>
              <w:rPr>
                <w:rStyle w:val="Style15"/>
                <w:vanish w:val="false"/>
                <w:shd w:fill="auto" w:val="clear"/>
              </w:rPr>
              <w:tab/>
              <w:t>..1</w:t>
            </w:r>
          </w:hyperlink>
          <w:r>
            <w:rPr>
              <w:vanish w:val="false"/>
              <w:shd w:fill="auto" w:val="clear"/>
            </w:rPr>
            <w:t>5</w:t>
          </w:r>
        </w:p>
        <w:p>
          <w:pPr>
            <w:pStyle w:val="TOC2"/>
            <w:rPr/>
          </w:pPr>
          <w:hyperlink w:anchor="_Toc468093789">
            <w:r>
              <w:rPr>
                <w:webHidden/>
                <w:rStyle w:val="Style15"/>
                <w:vanish w:val="false"/>
                <w:color w:val="000000"/>
                <w:shd w:fill="auto" w:val="clear"/>
              </w:rPr>
              <w:t>3.2.</w:t>
            </w:r>
            <w:r>
              <w:rPr>
                <w:rStyle w:val="Style15"/>
                <w:shd w:fill="auto" w:val="clear"/>
              </w:rPr>
              <w:t xml:space="preserve"> </w:t>
            </w:r>
            <w:r>
              <w:rPr>
                <w:rStyle w:val="Style15"/>
                <w:color w:val="000000"/>
                <w:shd w:fill="auto" w:val="clear"/>
              </w:rPr>
              <w:t xml:space="preserve">Иные просветительские мероприятия  </w:t>
            </w:r>
            <w:r>
              <w:rPr>
                <w:rStyle w:val="Style15"/>
                <w:vanish w:val="false"/>
                <w:shd w:fill="auto" w:val="clear"/>
              </w:rPr>
              <w:tab/>
            </w:r>
          </w:hyperlink>
          <w:r>
            <w:rPr>
              <w:shd w:fill="auto" w:val="clear"/>
            </w:rPr>
            <w:t>16</w:t>
          </w:r>
          <w:r>
            <w:rPr>
              <w:shd w:fill="auto" w:val="clear"/>
            </w:rPr>
            <w:fldChar w:fldCharType="end"/>
          </w:r>
        </w:p>
      </w:sdtContent>
    </w:sdt>
    <w:p>
      <w:pPr>
        <w:pStyle w:val="Normal"/>
        <w:rPr>
          <w:b/>
        </w:rPr>
      </w:pPr>
      <w:r>
        <w:rPr>
          <w:b/>
        </w:rPr>
        <w:t xml:space="preserve">4. НАПРАВЛЕНИЯ СОВЕРШЕНСТВОВАНИЯ РЕАЛИЗАЦИИ АНТИКОРРУПЦИОННОЙ ПОЛИТИКИ В ПЕРМСКОМ КРАЕ </w:t>
        <w:br/>
        <w:t xml:space="preserve">В 2026 ГОДУ </w:t>
      </w:r>
      <w:r>
        <w:rPr/>
        <w:t>…………………………………………………………………... 17</w:t>
      </w:r>
    </w:p>
    <w:p>
      <w:pPr>
        <w:pStyle w:val="Normal"/>
        <w:ind w:hanging="0"/>
        <w:rPr/>
      </w:pPr>
      <w:r>
        <w:rPr/>
      </w:r>
      <w:bookmarkStart w:id="4" w:name="_Toc415839388_Копия_1"/>
      <w:bookmarkStart w:id="5" w:name="_Toc415839401_Копия_1"/>
      <w:bookmarkStart w:id="6" w:name="_Toc415839388_Копия_1"/>
      <w:bookmarkStart w:id="7" w:name="_Toc415839401_Копия_1"/>
      <w:bookmarkEnd w:id="6"/>
      <w:bookmarkEnd w:id="7"/>
      <w:r>
        <w:br w:type="page"/>
      </w:r>
    </w:p>
    <w:p>
      <w:pPr>
        <w:pStyle w:val="Normal"/>
        <w:spacing w:lineRule="auto" w:line="240" w:before="0" w:after="0"/>
        <w:ind w:hanging="0"/>
        <w:jc w:val="center"/>
        <w:rPr>
          <w:b/>
          <w:highlight w:val="yellow"/>
        </w:rPr>
      </w:pPr>
      <w:r>
        <w:rPr>
          <w:b/>
          <w:highlight w:val="yellow"/>
        </w:rPr>
      </w:r>
    </w:p>
    <w:p>
      <w:pPr>
        <w:pStyle w:val="ListParagraph"/>
        <w:numPr>
          <w:ilvl w:val="0"/>
          <w:numId w:val="3"/>
        </w:numPr>
        <w:ind w:hanging="0" w:left="0"/>
        <w:jc w:val="center"/>
        <w:rPr>
          <w:rFonts w:eastAsia="Calibri"/>
          <w:b/>
          <w:bCs/>
          <w:caps/>
          <w:szCs w:val="28"/>
        </w:rPr>
      </w:pPr>
      <w:r>
        <w:rPr>
          <w:b/>
          <w:bCs/>
          <w:caps/>
          <w:szCs w:val="28"/>
        </w:rPr>
        <w:t>ОРГАНИЗАЦИОННОЕ И НОРМАТИВНОЕ СОПРОВОЖДЕНИЕ АНТИКОРРУПЦИОННОЙ ДЕЯТЕЛЬНОСТИ</w:t>
      </w:r>
    </w:p>
    <w:p>
      <w:pPr>
        <w:pStyle w:val="Normal"/>
        <w:rPr/>
      </w:pPr>
      <w:r>
        <w:rPr>
          <w:rFonts w:eastAsia="Calibri"/>
          <w:lang w:eastAsia="en-US"/>
        </w:rPr>
        <w:t>Во исполнение требований Указа Президента РФ от 15 июля 2015 г.</w:t>
        <w:br/>
        <w:t>№ 364 «О мерах по совершенствованию организации деятельности в области противодействия коррупции» и в соответствии с указом губернатора Пермского края от 25 декабря 2020 г. № 176 «О внесении изменений</w:t>
        <w:br/>
        <w:t xml:space="preserve">в отдельные указы губернатора Пермского края в части совершенствования организации деятельности органа Пермского края по профилактике коррупционных и иных правонарушений» </w:t>
      </w:r>
      <w:r>
        <w:rPr/>
        <w:t>функции органа по профилактике коррупционных и иных правонарушений возложены с 28 декабря 2020 г.</w:t>
        <w:br/>
        <w:t>на ОПКиИП.</w:t>
      </w:r>
    </w:p>
    <w:p>
      <w:pPr>
        <w:pStyle w:val="Subtitle"/>
        <w:numPr>
          <w:ilvl w:val="1"/>
          <w:numId w:val="1"/>
        </w:numPr>
        <w:spacing w:before="240" w:after="120"/>
        <w:ind w:hanging="0" w:left="0"/>
        <w:jc w:val="center"/>
        <w:rPr/>
      </w:pPr>
      <w:bookmarkStart w:id="8" w:name="_Toc468093780"/>
      <w:r>
        <w:rPr/>
        <w:t>Нормативное правовое регулирование вопросов проведения антикоррупционной политики в Пермском крае</w:t>
      </w:r>
      <w:bookmarkEnd w:id="8"/>
    </w:p>
    <w:p>
      <w:pPr>
        <w:pStyle w:val="Normal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В целях своевременной актуализации региональных нормативных правовых актов проводился ежеквартальный мониторинг изменений федерального и регионального законодательства в сфере противодействия коррупции. Сводная информация о результатах мониторинга размещается в разделе «Противодействие коррупции» официального сайта губернатора и Правительства края в информационно-телекоммуникационной сети «Интернет» </w:t>
      </w:r>
      <w:r>
        <w:rPr>
          <w:rFonts w:eastAsia="Calibri"/>
          <w:color w:val="000000"/>
          <w:szCs w:val="28"/>
        </w:rPr>
        <w:t>(</w:t>
      </w:r>
      <w:hyperlink r:id="rId3">
        <w:r>
          <w:rPr>
            <w:rStyle w:val="Hyperlink"/>
            <w:rFonts w:eastAsia="Calibri"/>
            <w:color w:val="000000"/>
            <w:szCs w:val="28"/>
          </w:rPr>
          <w:t>https://permkrai.ru/information-income/metodicheskie-materialy/obzor-izmenenii-zakonodatelstva-v-sfere-protivodeistviya-korrupcii/</w:t>
        </w:r>
      </w:hyperlink>
      <w:r>
        <w:rPr>
          <w:rFonts w:eastAsia="Calibri"/>
          <w:color w:val="000000"/>
          <w:szCs w:val="28"/>
        </w:rPr>
        <w:t>).</w:t>
      </w:r>
    </w:p>
    <w:p>
      <w:pPr>
        <w:pStyle w:val="Normal"/>
        <w:rPr>
          <w:rFonts w:eastAsia="Calibri"/>
          <w:szCs w:val="28"/>
        </w:rPr>
      </w:pPr>
      <w:r>
        <w:rPr>
          <w:rFonts w:eastAsia="Calibri"/>
          <w:color w:val="000000"/>
          <w:szCs w:val="28"/>
        </w:rPr>
        <w:t>Также внимание уделялось оперативному доведению информации об изменениях федерального и регионального законодательства до правоприменителей. Так, было направлено в государственные и муниципальные органы 3 информационных письма, проведено 6 семинаров для гражданских им муниципальных служащих (с докладами об изменениях законодательства), размещено 4 поста на специально созданных страницах в социальных сетях.</w:t>
      </w:r>
    </w:p>
    <w:p>
      <w:pPr>
        <w:pStyle w:val="Normal"/>
        <w:rPr>
          <w:color w:val="000000"/>
        </w:rPr>
      </w:pPr>
      <w:r>
        <w:rPr>
          <w:rFonts w:eastAsia="Calibri"/>
          <w:color w:val="000000"/>
          <w:szCs w:val="28"/>
        </w:rPr>
        <w:t>В отчетном периоде одновременно с проведением правовой экспертизы проектов правовых актов проведена антикоррупционная экспертиза в сроки, определенные законодательством РФ, и по ее результатам подготовлены заключения на проекты:</w:t>
      </w:r>
    </w:p>
    <w:p>
      <w:pPr>
        <w:pStyle w:val="Normal"/>
        <w:rPr>
          <w:color w:val="000000"/>
        </w:rPr>
      </w:pPr>
      <w:r>
        <w:rPr>
          <w:rFonts w:eastAsia="Calibri"/>
          <w:color w:val="000000"/>
          <w:szCs w:val="28"/>
        </w:rPr>
        <w:t>указов губернатора края — 140;</w:t>
      </w:r>
    </w:p>
    <w:p>
      <w:pPr>
        <w:pStyle w:val="Normal"/>
        <w:rPr>
          <w:color w:val="000000"/>
        </w:rPr>
      </w:pPr>
      <w:r>
        <w:rPr>
          <w:rFonts w:eastAsia="Calibri"/>
          <w:color w:val="000000"/>
          <w:szCs w:val="28"/>
        </w:rPr>
        <w:t>постановлений Правительства края — 1132;</w:t>
      </w:r>
    </w:p>
    <w:p>
      <w:pPr>
        <w:pStyle w:val="Normal"/>
        <w:rPr>
          <w:color w:val="000000"/>
        </w:rPr>
      </w:pPr>
      <w:r>
        <w:rPr>
          <w:rFonts w:eastAsia="Calibri"/>
          <w:color w:val="000000"/>
          <w:szCs w:val="28"/>
        </w:rPr>
        <w:t>распоряжений руководителя Администрации губернатора, носящих нормативный характер — 8.</w:t>
      </w:r>
    </w:p>
    <w:p>
      <w:pPr>
        <w:pStyle w:val="Normal"/>
        <w:rPr>
          <w:color w:val="000000"/>
        </w:rPr>
      </w:pPr>
      <w:r>
        <w:rPr>
          <w:rFonts w:eastAsia="Calibri"/>
          <w:color w:val="000000"/>
          <w:szCs w:val="28"/>
        </w:rPr>
        <w:t>Коррупциогенные факторы не выявлены.</w:t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Heading1"/>
        <w:numPr>
          <w:ilvl w:val="1"/>
          <w:numId w:val="1"/>
        </w:numPr>
        <w:spacing w:before="240" w:after="120"/>
        <w:ind w:hanging="0" w:left="0"/>
        <w:rPr/>
      </w:pPr>
      <w:bookmarkStart w:id="9" w:name="_Toc468093781"/>
      <w:r>
        <w:rPr/>
        <w:t xml:space="preserve">Комиссия по координации работы по противодействию коррупции </w:t>
        <w:br/>
        <w:t>в Пермском крае</w:t>
      </w:r>
      <w:bookmarkEnd w:id="9"/>
    </w:p>
    <w:p>
      <w:pPr>
        <w:pStyle w:val="Normal"/>
        <w:ind w:firstLine="708"/>
        <w:rPr>
          <w:rFonts w:eastAsia="Times-Roman"/>
          <w:color w:val="FF0000"/>
          <w:szCs w:val="26"/>
        </w:rPr>
      </w:pPr>
      <w:r>
        <w:rPr>
          <w:rFonts w:eastAsia="Times-Roman"/>
          <w:szCs w:val="26"/>
        </w:rPr>
        <w:t>Комиссия по координации</w:t>
      </w:r>
      <w:r>
        <w:rPr/>
        <w:t xml:space="preserve"> </w:t>
      </w:r>
      <w:r>
        <w:rPr>
          <w:rFonts w:eastAsia="Times-Roman"/>
          <w:szCs w:val="26"/>
        </w:rPr>
        <w:t>работы по противодействию коррупции</w:t>
        <w:br/>
        <w:t>в крае (далее – Комиссия по координации) является постоянно действующим координационным органом при губернаторе края и осуществляет свою деятельность в соответствии с указом губернатора края от 21 сентября 2015 г. № 133 «О мерах по совершенствованию организации деятельности в области противодействия коррупции» и у</w:t>
      </w:r>
      <w:r>
        <w:rPr>
          <w:rFonts w:eastAsia="Calibri"/>
          <w:szCs w:val="28"/>
        </w:rPr>
        <w:t>казом губернатора края от 12 октября 2015 г. № 142 «Об утверждении Порядка рассмотрения Комиссией по координации работы по противодействию коррупции в Пермском крае вопросов, касающихся соблюдения лицами, замещающими государственные должности Пермского края, для которых федеральными законами не предусмотрено иное, запретов, ограничений и требований, установленных в целях противодействия коррупции».</w:t>
      </w:r>
    </w:p>
    <w:p>
      <w:pPr>
        <w:pStyle w:val="Normal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В текущем году проведено 4 заседания Комиссии по координации, </w:t>
        <w:br/>
        <w:t>по результатам которых, помимо прочего, реализованы следующие мероприятия.</w:t>
      </w:r>
    </w:p>
    <w:p>
      <w:pPr>
        <w:pStyle w:val="Normal"/>
        <w:ind w:firstLine="708"/>
        <w:rPr>
          <w:color w:val="000000"/>
        </w:rPr>
      </w:pPr>
      <w:r>
        <w:rPr>
          <w:rFonts w:eastAsia="Calibri"/>
          <w:color w:val="000000"/>
          <w:szCs w:val="28"/>
        </w:rPr>
        <w:t>Проведен мониторинг планов противодействия коррупции в ОМСУ, выявленные замечания устранены.</w:t>
      </w:r>
    </w:p>
    <w:p>
      <w:pPr>
        <w:pStyle w:val="Normal"/>
        <w:ind w:firstLine="708"/>
        <w:rPr>
          <w:color w:val="000000"/>
        </w:rPr>
      </w:pPr>
      <w:r>
        <w:rPr>
          <w:rFonts w:eastAsia="Calibri"/>
          <w:color w:val="000000"/>
          <w:szCs w:val="28"/>
        </w:rPr>
        <w:t>Подготовлено и направлено в ОМСУ информационное письмо о судебной практике по конфликту интересов.</w:t>
      </w:r>
    </w:p>
    <w:p>
      <w:pPr>
        <w:pStyle w:val="Normal"/>
        <w:ind w:firstLine="708"/>
        <w:rPr>
          <w:color w:val="000000"/>
        </w:rPr>
      </w:pPr>
      <w:r>
        <w:rPr>
          <w:rFonts w:eastAsia="Calibri"/>
          <w:color w:val="000000"/>
          <w:szCs w:val="28"/>
        </w:rPr>
        <w:t>Утверждены карты коррупционных рисков и мер по их минимизации</w:t>
        <w:br/>
        <w:t>в администрации 2 ОМСУ.</w:t>
      </w:r>
    </w:p>
    <w:p>
      <w:pPr>
        <w:pStyle w:val="Normal"/>
        <w:ind w:firstLine="708"/>
        <w:rPr>
          <w:color w:val="000000"/>
        </w:rPr>
      </w:pPr>
      <w:r>
        <w:rPr>
          <w:rFonts w:eastAsia="Calibri"/>
          <w:color w:val="000000"/>
          <w:szCs w:val="28"/>
        </w:rPr>
        <w:t>Проведено 4 семинара по вопросам соблюдения требований антикоррупционного законодательства в ОМСУ и ИОГВ.</w:t>
      </w:r>
    </w:p>
    <w:p>
      <w:pPr>
        <w:pStyle w:val="Normal"/>
        <w:ind w:firstLine="708"/>
        <w:rPr>
          <w:color w:val="000000"/>
        </w:rPr>
      </w:pPr>
      <w:r>
        <w:rPr>
          <w:rFonts w:eastAsia="Calibri"/>
          <w:color w:val="000000"/>
          <w:szCs w:val="28"/>
        </w:rPr>
        <w:t>Проведены антикоррупционные дебаты среди студентов высших учебных заведений и средних специальных учебных заведений г. Перми.</w:t>
      </w:r>
    </w:p>
    <w:p>
      <w:pPr>
        <w:pStyle w:val="Normal"/>
        <w:ind w:firstLine="708"/>
        <w:rPr>
          <w:color w:val="FF0000"/>
        </w:rPr>
      </w:pPr>
      <w:r>
        <w:rPr>
          <w:rFonts w:eastAsia="Calibri"/>
          <w:color w:val="000000"/>
          <w:szCs w:val="28"/>
        </w:rPr>
        <w:t xml:space="preserve">Проведен мониторинг </w:t>
      </w:r>
      <w:r>
        <w:rPr>
          <w:rFonts w:eastAsia="Times New Roman"/>
          <w:color w:val="000000"/>
          <w:sz w:val="28"/>
          <w:szCs w:val="28"/>
          <w:shd w:fill="auto" w:val="clear"/>
          <w:lang w:eastAsia="ru-RU"/>
        </w:rPr>
        <w:t>наличия разработанных в администрациях муниципальных образований Пермского края карт коррупционных рисков: разработаны карты в 18 муниципальных образованиях, в остальных работа будет завершена к 30 марта 2026 г.</w:t>
      </w:r>
    </w:p>
    <w:p>
      <w:pPr>
        <w:pStyle w:val="Normal"/>
        <w:ind w:firstLine="708"/>
        <w:rPr/>
      </w:pPr>
      <w:r>
        <w:rPr>
          <w:rFonts w:eastAsia="Calibri"/>
          <w:color w:val="000000"/>
          <w:sz w:val="28"/>
          <w:szCs w:val="28"/>
          <w:shd w:fill="auto" w:val="clear"/>
          <w:lang w:eastAsia="ru-RU"/>
        </w:rPr>
        <w:t>П</w:t>
      </w:r>
      <w:r>
        <w:rPr>
          <w:rFonts w:eastAsia="Times New Roman"/>
          <w:color w:val="000000"/>
          <w:sz w:val="28"/>
          <w:szCs w:val="28"/>
          <w:shd w:fill="auto" w:val="clear"/>
          <w:lang w:eastAsia="ru-RU"/>
        </w:rPr>
        <w:t xml:space="preserve">роведен анализ практики выбора </w:t>
      </w:r>
      <w:r>
        <w:rPr>
          <w:rFonts w:eastAsia="Times New Roman" w:cs="Times New Roman"/>
          <w:color w:val="000000"/>
          <w:sz w:val="28"/>
          <w:szCs w:val="28"/>
          <w:shd w:fill="auto" w:val="clear"/>
          <w:lang w:eastAsia="ru-RU"/>
        </w:rPr>
        <w:t>экспертов для проверки качества строительных работ, материалов, оборудования, изделий, приобретаемых подрядчиком для производства работ, и соответствия их проектной документации.</w:t>
      </w:r>
    </w:p>
    <w:p>
      <w:pPr>
        <w:pStyle w:val="Normal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>Также проведено заседание Президиума Комиссии по координации</w:t>
        <w:br/>
        <w:t>по рассмотрению заявления о невозможности выполнить требования, предусмотренные ч. 1 ст. 3 Федерального закона от 07 мая 2013 г. № 79-ФЗ «О запрете отдельным категориям лиц открывать и иметь счета 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поступившего от ЛЗГД.</w:t>
      </w:r>
    </w:p>
    <w:p>
      <w:pPr>
        <w:pStyle w:val="Normal"/>
        <w:ind w:firstLine="708"/>
        <w:rPr>
          <w:color w:val="000000"/>
        </w:rPr>
      </w:pPr>
      <w:r>
        <w:rPr>
          <w:rFonts w:eastAsia="Calibri"/>
          <w:color w:val="000000"/>
          <w:szCs w:val="28"/>
        </w:rPr>
        <w:t>По результатам рассмотрения принято решение о п</w:t>
      </w:r>
      <w:r>
        <w:rPr>
          <w:rFonts w:eastAsia="Calibri" w:cs="Times New Roman"/>
          <w:color w:val="000000"/>
          <w:sz w:val="28"/>
          <w:szCs w:val="28"/>
        </w:rPr>
        <w:t>ризнании  обстоятельств, препятствующих выполнению требований указанного выше Федерального закона, объективными и уважительными.</w:t>
      </w:r>
    </w:p>
    <w:p>
      <w:pPr>
        <w:pStyle w:val="Normal"/>
        <w:suppressAutoHyphens w:val="true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>Кроме того, обеспечено организационно-правовое сопровождение деятельности Комиссии по координации, в том числе в части актуализации ее состава.</w:t>
      </w:r>
    </w:p>
    <w:p>
      <w:pPr>
        <w:pStyle w:val="Normal"/>
        <w:suppressAutoHyphens w:val="true"/>
        <w:ind w:firstLine="708"/>
        <w:rPr>
          <w:szCs w:val="28"/>
        </w:rPr>
      </w:pPr>
      <w:r>
        <w:rPr>
          <w:szCs w:val="28"/>
        </w:rPr>
        <w:t>Информация о результатах работы Комиссии по координации размещается на официальном сайте губернатора и Правительства края (</w:t>
      </w:r>
      <w:hyperlink r:id="rId4">
        <w:r>
          <w:rPr>
            <w:rStyle w:val="Hyperlink"/>
            <w:szCs w:val="28"/>
          </w:rPr>
          <w:t>https://permkrai.ru/information-income/komissiya-po-koordinatsii-raboty-po-protivodeystviyu-korruptsii-v-permskom-krae/informatsiya-o-zasedaniyakh-komissii-prinyatykh-resheniyakh/</w:t>
        </w:r>
      </w:hyperlink>
      <w:r>
        <w:rPr>
          <w:szCs w:val="28"/>
        </w:rPr>
        <w:t>).</w:t>
      </w:r>
    </w:p>
    <w:p>
      <w:pPr>
        <w:pStyle w:val="Heading1"/>
        <w:numPr>
          <w:ilvl w:val="1"/>
          <w:numId w:val="1"/>
        </w:numPr>
        <w:spacing w:before="240" w:after="120"/>
        <w:ind w:hanging="11" w:left="0"/>
        <w:rPr/>
      </w:pPr>
      <w:bookmarkStart w:id="10" w:name="_Toc468093782"/>
      <w:r>
        <w:rPr/>
        <w:t xml:space="preserve">Программа противодействия коррупции в Пермском крае </w:t>
        <w:br/>
        <w:t xml:space="preserve">и планы по противодействию коррупции государственных </w:t>
        <w:br/>
        <w:t>и муниципальных органов</w:t>
      </w:r>
      <w:bookmarkEnd w:id="10"/>
    </w:p>
    <w:p>
      <w:pPr>
        <w:pStyle w:val="Normal"/>
        <w:shd w:val="clear" w:color="auto" w:fill="FFFFFF"/>
        <w:spacing w:lineRule="atLeast" w:line="360"/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В связи с завершением действия Программы противодействия коррупции в крае на 2021-2024 годы указом губернатора края от 27.01.2025 № 4 утверждена новая Программа противодействия коррупции в крае на 2025-2028 годы (далее – Программа).</w:t>
      </w:r>
    </w:p>
    <w:p>
      <w:pPr>
        <w:pStyle w:val="Normal"/>
        <w:rPr/>
      </w:pPr>
      <w:r>
        <w:rPr/>
        <w:t>В отчетном периоде выполнены все основные целевые индикаторы</w:t>
        <w:br/>
        <w:t xml:space="preserve">и показатели Программы. </w:t>
      </w:r>
    </w:p>
    <w:p>
      <w:pPr>
        <w:pStyle w:val="Normal"/>
        <w:rPr>
          <w:color w:val="000000"/>
        </w:rPr>
      </w:pPr>
      <w:r>
        <w:rPr>
          <w:color w:val="000000"/>
        </w:rPr>
        <w:t>Так, доля антикоррупционных проверок, основанием для которых послужила информация, представленная структурными подразделениями (должностными лицами) Администрации губернатора, ГО, ОМСУ, осуществляющими в соответствующих органах функции по профилактике коррупционных и иных правонарушений, по итогам анализа сведений, представленных гражданскими и муниципальными служащими, от общего числа указанных проверок составила 92,0% (при показателе не менее 80%).</w:t>
      </w:r>
    </w:p>
    <w:p>
      <w:pPr>
        <w:pStyle w:val="Normal"/>
        <w:rPr>
          <w:color w:val="000000"/>
        </w:rPr>
      </w:pPr>
      <w:r>
        <w:rPr>
          <w:color w:val="000000"/>
        </w:rPr>
        <w:t>Проведено 4 межведомственных семинара по вопросам реализации антикоррупционного законодательства для уполномоченных лиц и иных гражданских и муниципальных служащих ГО, ОМСУ.</w:t>
      </w:r>
    </w:p>
    <w:p>
      <w:pPr>
        <w:pStyle w:val="Normal"/>
        <w:rPr>
          <w:color w:val="000000"/>
        </w:rPr>
      </w:pPr>
      <w:r>
        <w:rPr>
          <w:color w:val="000000"/>
        </w:rPr>
        <w:t xml:space="preserve">В информационно-телекоммуникационной сети «Интернет» </w:t>
        <w:br/>
        <w:t>(на специальных страницах (группах) в социальных сетях и в разделе «Противодействие коррупции» официального сайта Администрации губернатора) размещено 52 информационных материалов антикоррупционной направленности, в том числе ежеквартальные обзоры изменений антикоррупционного законодательства, информация о результатах проведения заседаний Комиссии по координации, иных антикоррупционных комиссий, отчет о реализации антикоррупционной политики за 2024 г.</w:t>
      </w:r>
    </w:p>
    <w:p>
      <w:pPr>
        <w:pStyle w:val="Normal"/>
        <w:rPr/>
      </w:pPr>
      <w:r>
        <w:rPr/>
        <w:t xml:space="preserve">Более подробная информация о выполнении мероприятий Программы </w:t>
        <w:br/>
        <w:t>в 2025 г. отражена в соответствующих разделах настоящего отчета.</w:t>
      </w:r>
    </w:p>
    <w:p>
      <w:pPr>
        <w:pStyle w:val="Normal"/>
        <w:rPr/>
      </w:pPr>
      <w:r>
        <w:rPr>
          <w:color w:val="000000"/>
        </w:rPr>
        <w:t xml:space="preserve">Во исполнение пункта 1.4. Перечня мероприятий Программы Министерством информационного развития и связи края обеспечен перевод </w:t>
        <w:br/>
        <w:t xml:space="preserve">в электронную форму 31 государственной и муниципальной услуги, </w:t>
        <w:br/>
        <w:t>что составило – 114 % от общего количества услуг, подлежащих переводу в 2025 г., согласно перечню государственных и муниципальных услуг, подлежащих переводу в электронную форму, одобренному решением комиссии по повышению качества предоставления государственных и муниципальных услуг в крае от 18 июня 2025 г. (27 услуг).</w:t>
      </w:r>
    </w:p>
    <w:p>
      <w:pPr>
        <w:pStyle w:val="Normal"/>
        <w:rPr>
          <w:color w:val="000000"/>
        </w:rPr>
      </w:pPr>
      <w:r>
        <w:rPr>
          <w:b/>
          <w:bCs/>
          <w:color w:val="000000"/>
        </w:rPr>
        <w:t>Во исполнение пункта 1.5. Перечня мероприятий Программы</w:t>
      </w:r>
      <w:r>
        <w:rPr>
          <w:color w:val="000000"/>
        </w:rPr>
        <w:t xml:space="preserve"> Министерством информационного развития и связи края совместно с муниципальными образованиями Пермского края разработаны и утверждены дорожные карты по поэтапному закрытию очного приема заявлений по муниципальным услугам в администрациях муниципальных образований края. </w:t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  <w:t>В соответствии с постановлением Правительства края от 26 декабря 2014 г. № 1534-п «О перечнях услуг и мер поддержки, предоставление которых организовано в многофункциональных центрах предоставления государственных и муниципальных услуг» (далее - постановление Правительства № 1534-п) по 229 муниципальным услугам очный прием заявлений в ОМСУ прекращен.</w:t>
      </w:r>
    </w:p>
    <w:p>
      <w:pPr>
        <w:pStyle w:val="Normal"/>
        <w:rPr>
          <w:color w:val="000000"/>
        </w:rPr>
      </w:pPr>
      <w:r>
        <w:rPr>
          <w:color w:val="000000"/>
        </w:rPr>
        <w:t>В настоящее время Государственным бюджетным учреждением </w:t>
        <w:br/>
        <w:t>края «Пермский краевой многофункциональный центр предоставления государственных и муниципальных услуг» (далее – ГБУ МФЦ) организована работа по внесению изменений в постановление Правительства № 1534-п в части включения в согласованный перечень государственных и муниципальных услуг, предоставляемых в ГБУ МФЦ - 157 услуг, организация предоставления которых в ходе личного приема в ОМСУ не осуществляется.</w:t>
      </w:r>
    </w:p>
    <w:p>
      <w:pPr>
        <w:pStyle w:val="Normal"/>
        <w:rPr/>
      </w:pPr>
      <w:r>
        <w:rPr>
          <w:color w:val="000000"/>
        </w:rPr>
        <w:t xml:space="preserve">В срок до 8 июня 2026 г. запланировано включение 1420 муниципальных услуг в соглашения о взаимодействии между ГБУ МФЦ </w:t>
        <w:br/>
        <w:t>и ОМСУ и завершение перевода обращений по всем муниципальным услугам в ГБУ МФЦ.</w:t>
      </w:r>
    </w:p>
    <w:p>
      <w:pPr>
        <w:pStyle w:val="Normal"/>
        <w:rPr>
          <w:color w:val="000000"/>
        </w:rPr>
      </w:pPr>
      <w:r>
        <w:rPr>
          <w:b/>
          <w:bCs/>
          <w:color w:val="000000"/>
        </w:rPr>
        <w:t>Во исполнение пункта 1.10 Перечня мероприятий Программы</w:t>
      </w:r>
      <w:r>
        <w:rPr>
          <w:color w:val="000000"/>
        </w:rPr>
        <w:t xml:space="preserve"> проведено социологическое исследование в целях оценки уровня коррупции в крае. </w:t>
      </w:r>
    </w:p>
    <w:p>
      <w:pPr>
        <w:pStyle w:val="Normal"/>
        <w:rPr>
          <w:color w:val="000000"/>
        </w:rPr>
      </w:pPr>
      <w:r>
        <w:rPr>
          <w:color w:val="000000"/>
        </w:rPr>
        <w:t xml:space="preserve">Так, доля респондентов, которые считают уровень коррупции высоким, выросла (+6,8% к ноябрю 2024 г.), а доля тех, кто считает уровень коррупции низким, изменилась незначительно (-0,2%). Доля респондентов, считающих уровень коррупции средним, снизилась (-2,4%), как и доля затруднившихся ответить (-4,2%). </w:t>
      </w:r>
    </w:p>
    <w:p>
      <w:pPr>
        <w:pStyle w:val="Normal"/>
        <w:spacing w:before="0" w:after="0"/>
        <w:ind w:hanging="0"/>
        <w:jc w:val="center"/>
        <w:rPr>
          <w:rFonts w:ascii="Times New Roman" w:hAnsi="Times New Roman" w:eastAsia="Times New Roman" w:cs="Times New Roman"/>
          <w:bCs/>
          <w:sz w:val="24"/>
        </w:rPr>
      </w:pPr>
      <w:r>
        <w:drawing>
          <wp:anchor behindDoc="0" distT="0" distB="0" distL="0" distR="0" simplePos="0" locked="0" layoutInCell="0" allowOverlap="1" relativeHeight="7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940425" cy="2715260"/>
            <wp:effectExtent l="0" t="0" r="0" b="0"/>
            <wp:wrapSquare wrapText="largest"/>
            <wp:docPr id="2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15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940425" cy="3580130"/>
            <wp:effectExtent l="0" t="0" r="0" b="0"/>
            <wp:wrapSquare wrapText="largest"/>
            <wp:docPr id="3" name="Изображение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3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80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Cs/>
          <w:sz w:val="24"/>
        </w:rPr>
        <w:t>Диаграмма 1 – Оценка уровня коррупции в крае (% от числа опрошенных)</w:t>
        <w:br/>
      </w:r>
    </w:p>
    <w:p>
      <w:pPr>
        <w:pStyle w:val="Normal"/>
        <w:spacing w:before="0" w:after="0"/>
        <w:ind w:hanging="0"/>
        <w:jc w:val="both"/>
        <w:rPr/>
      </w:pPr>
      <w:r>
        <w:rPr/>
        <w:tab/>
        <w:t>За последний год выросла доля респондентов, кому в целом достаточно информации в СМИ о борьбе с коррупцией в Пермском крае (+3,2% к ноябрю 2024 г.). Доля тех, кому недостаточно информации, снизилась (-3,2%).</w:t>
      </w:r>
    </w:p>
    <w:p>
      <w:pPr>
        <w:pStyle w:val="Normal"/>
        <w:spacing w:lineRule="auto" w:line="252" w:before="0" w:after="80"/>
        <w:ind w:hanging="0"/>
        <w:jc w:val="center"/>
        <w:rPr>
          <w:rFonts w:ascii="Times New Roman" w:hAnsi="Times New Roman" w:eastAsia="Times New Roman" w:cs="Times New Roman"/>
          <w:sz w:val="24"/>
        </w:rPr>
      </w:pPr>
      <w:r>
        <w:drawing>
          <wp:anchor behindDoc="0" distT="0" distB="0" distL="0" distR="0" simplePos="0" locked="0" layoutInCell="0" allowOverlap="1" relativeHeight="9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940425" cy="2640965"/>
            <wp:effectExtent l="0" t="0" r="0" b="0"/>
            <wp:wrapSquare wrapText="largest"/>
            <wp:docPr id="4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40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10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940425" cy="2715260"/>
            <wp:effectExtent l="0" t="0" r="0" b="0"/>
            <wp:wrapSquare wrapText="largest"/>
            <wp:docPr id="5" name="Изображение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4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15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sz w:val="24"/>
        </w:rPr>
        <w:tab/>
        <w:t>Диаграмма 2 – Оценка достаточности информации в СМИ о борьбе с коррупцией в крае (% от числа всех опрошенных по краю)</w:t>
      </w:r>
    </w:p>
    <w:p>
      <w:pPr>
        <w:pStyle w:val="Normal"/>
        <w:spacing w:lineRule="auto" w:line="252" w:before="0" w:after="80"/>
        <w:ind w:hanging="0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/>
          <w:sz w:val="24"/>
        </w:rPr>
      </w:r>
    </w:p>
    <w:p>
      <w:pPr>
        <w:pStyle w:val="Normal"/>
        <w:rPr>
          <w:color w:val="000000"/>
        </w:rPr>
      </w:pPr>
      <w:r>
        <w:rPr>
          <w:b/>
          <w:bCs/>
          <w:color w:val="000000"/>
        </w:rPr>
        <w:t>Во исполнение пункта 3.13 Перечня мероприятий Программы</w:t>
      </w:r>
      <w:r>
        <w:rPr>
          <w:color w:val="000000"/>
        </w:rPr>
        <w:t xml:space="preserve"> Министерством по регулированию контрактной системы в сфере закупок края проведен анализ новелл федерального законодательства в сфере закупок отдельными видами юридических лиц и типичных ошибок при применении автономными, бюджетными учреждениями края и унитарными предприятиями края, осуществляющими закупки в соответствии с Федеральным законом от 18 июля 2011 г. № 223-ФЗ «О закупках товаров, работ, услуг отдельными видами юридических лиц», отдельных норм Типового положения о закупке товаров, работ, услуг (далее - Типовое положение). </w:t>
      </w:r>
    </w:p>
    <w:p>
      <w:pPr>
        <w:pStyle w:val="Normal"/>
        <w:rPr>
          <w:color w:val="000000"/>
        </w:rPr>
      </w:pPr>
      <w:r>
        <w:rPr>
          <w:color w:val="000000"/>
        </w:rPr>
        <w:t>По результатам анализа в Типовое положение внесены актуализирующие правки, в том числе в части приведения в соответствие с федеральным законодательством (применение норм национального режима  при осуществлении закупок, продление мер поддержки при исполнении  договора по аналогии с нормами Федерального закона от 05 апреля 2013 г. № 44-ФЗ «О контрактной системе в сфере закупок товаров, работ, услуг  для обеспечения государственных и муниципальных нужд»).</w:t>
      </w:r>
    </w:p>
    <w:p>
      <w:pPr>
        <w:pStyle w:val="Normal"/>
        <w:spacing w:lineRule="auto" w:line="240" w:before="0" w:after="80"/>
        <w:ind w:firstLine="425"/>
        <w:jc w:val="center"/>
        <w:rPr>
          <w:rFonts w:ascii="Times New Roman" w:hAnsi="Times New Roman" w:eastAsia="Times New Roman" w:cs="Times New Roman"/>
          <w:bCs/>
          <w:sz w:val="12"/>
          <w:szCs w:val="12"/>
        </w:rPr>
      </w:pPr>
      <w:r>
        <w:rPr>
          <w:rFonts w:eastAsia="Times New Roman" w:cs="Times New Roman"/>
          <w:bCs/>
          <w:sz w:val="12"/>
          <w:szCs w:val="12"/>
        </w:rPr>
      </w:r>
    </w:p>
    <w:p>
      <w:pPr>
        <w:pStyle w:val="Heading1"/>
        <w:numPr>
          <w:ilvl w:val="0"/>
          <w:numId w:val="1"/>
        </w:numPr>
        <w:spacing w:before="0" w:after="120"/>
        <w:ind w:hanging="357" w:left="714"/>
        <w:rPr>
          <w:rFonts w:eastAsia="Calibri"/>
          <w:lang w:eastAsia="en-US"/>
        </w:rPr>
      </w:pPr>
      <w:r>
        <w:rPr>
          <w:rFonts w:eastAsia="Calibri"/>
          <w:lang w:eastAsia="en-US"/>
        </w:rPr>
        <w:t>КОНТРОЛЬ ЗА СОБЛЮДЕНИЕМ АНТИКОРРУПЦИОННЫХ ТРЕБОВАНИЙ</w:t>
      </w:r>
    </w:p>
    <w:p>
      <w:pPr>
        <w:pStyle w:val="Heading1"/>
        <w:numPr>
          <w:ilvl w:val="1"/>
          <w:numId w:val="1"/>
        </w:numPr>
        <w:spacing w:before="0" w:after="120"/>
        <w:ind w:hanging="0" w:left="0"/>
        <w:rPr/>
      </w:pPr>
      <w:bookmarkStart w:id="11" w:name="_Toc468093783"/>
      <w:r>
        <w:rPr/>
        <w:t xml:space="preserve">Сведения о доходах, представляемые </w:t>
        <w:br/>
        <w:t>в установленном порядке</w:t>
      </w:r>
      <w:bookmarkEnd w:id="11"/>
    </w:p>
    <w:p>
      <w:pPr>
        <w:pStyle w:val="Normal"/>
        <w:ind w:firstLine="708"/>
        <w:rPr>
          <w:szCs w:val="28"/>
        </w:rPr>
      </w:pPr>
      <w:r>
        <w:rPr>
          <w:szCs w:val="28"/>
        </w:rPr>
        <w:t>Всего представили сведения о доходах за отчетный период 2024 г. 7534 обязанных лиц.</w:t>
      </w:r>
    </w:p>
    <w:p>
      <w:pPr>
        <w:pStyle w:val="Normal"/>
        <w:spacing w:lineRule="auto" w:line="259" w:before="0" w:after="160"/>
        <w:ind w:hanging="0"/>
        <w:jc w:val="center"/>
        <w:rPr>
          <w:rFonts w:eastAsia="Calibri"/>
          <w:color w:val="FF0000"/>
          <w:szCs w:val="28"/>
          <w:lang w:eastAsia="en-US"/>
        </w:rPr>
      </w:pPr>
      <w:r>
        <w:rPr/>
        <w:drawing>
          <wp:inline distT="0" distB="0" distL="0" distR="0">
            <wp:extent cx="5923915" cy="2276475"/>
            <wp:effectExtent l="0" t="0" r="0" b="0"/>
            <wp:docPr id="6" name="Объект 75" descr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>
        <w:rPr>
          <w:color w:val="FF0000"/>
        </w:rPr>
        <w:t xml:space="preserve"> </w:t>
      </w:r>
    </w:p>
    <w:p>
      <w:pPr>
        <w:pStyle w:val="Normal"/>
        <w:spacing w:lineRule="exact" w:line="240"/>
        <w:ind w:hanging="0"/>
        <w:jc w:val="center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Диаграмма </w:t>
      </w:r>
      <w:r>
        <w:rPr>
          <w:rFonts w:eastAsia="Calibri"/>
          <w:szCs w:val="28"/>
          <w:lang w:eastAsia="en-US"/>
        </w:rPr>
        <w:t>3</w:t>
      </w:r>
      <w:r>
        <w:rPr>
          <w:rFonts w:eastAsia="Calibri"/>
          <w:szCs w:val="28"/>
          <w:lang w:eastAsia="en-US"/>
        </w:rPr>
        <w:t>. Количество обязанных лиц, представивших сведения о доходах</w:t>
      </w:r>
    </w:p>
    <w:p>
      <w:pPr>
        <w:pStyle w:val="Normal"/>
        <w:spacing w:lineRule="exact" w:line="240"/>
        <w:ind w:hanging="0"/>
        <w:jc w:val="center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</w:r>
    </w:p>
    <w:p>
      <w:pPr>
        <w:pStyle w:val="Normal"/>
        <w:ind w:hanging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ab/>
        <w:t xml:space="preserve">Среди них 127 ЛЗМД (за отчетный период 2023 г. сведения представили 144 лица). </w:t>
      </w:r>
    </w:p>
    <w:p>
      <w:pPr>
        <w:pStyle w:val="Normal"/>
        <w:ind w:firstLine="708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Незначительное количество лиц, замещающих муниципальные должности, представивших сведения о доходах, обусловлено изменением антикоррупционного законодательства, которым закреплена обязанность представлять сведения о доходах лицами, замещающими муниципальные должности депутатов представительных органов и осуществляющих свои полномочия на непостоянной основе, только в случае совершения в отчетном периоде сделок, предусмотренных Федеральным законом от 03 декабря </w:t>
        <w:br/>
        <w:t>2012 г. № 230-ФЗ «О контроле за соответствием расходов лиц, замещающих государственные должности, и иных лиц их доходам».</w:t>
      </w:r>
    </w:p>
    <w:p>
      <w:pPr>
        <w:pStyle w:val="Normal"/>
        <w:ind w:hanging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ab/>
        <w:t xml:space="preserve">Сообщения о не совершении указанных выше сделок в 2023 г. представили 764 муниципальных депутатов представительных органов, осуществляющих свои полномочия на непостоянной основе. </w:t>
      </w:r>
    </w:p>
    <w:p>
      <w:pPr>
        <w:pStyle w:val="Normal"/>
        <w:ind w:firstLine="708"/>
        <w:rPr>
          <w:szCs w:val="24"/>
        </w:rPr>
      </w:pPr>
      <w:r>
        <w:rPr>
          <w:szCs w:val="24"/>
        </w:rPr>
        <w:t>При приеме сведений о доходах в обязательном порядке проводится анализ указанных сведений, который включает в себя проверку правильности оформления (соответствие форме, сверка со сведениями за предыдущий период) и анализ на предмет выявления рисков совершения нарушений соблюдения запретов, ограничений, требований о предотвращении (урегулировании) конфликта интересов, а также ненадлежащего исполнения обязанности по предоставлению полных и достоверных сведений о доходах.</w:t>
      </w:r>
    </w:p>
    <w:p>
      <w:pPr>
        <w:pStyle w:val="Normal"/>
        <w:ind w:firstLine="708"/>
        <w:rPr>
          <w:szCs w:val="24"/>
        </w:rPr>
      </w:pPr>
      <w:r>
        <w:rPr>
          <w:szCs w:val="24"/>
        </w:rPr>
        <w:t xml:space="preserve">На данном этапе выявляются основания для проведения антикоррупционных проверок, порядки проведения которых утверждены, </w:t>
        <w:br/>
        <w:t xml:space="preserve">в том числе законом Пермского края от 10 октября 2017 г. № 130-ПК </w:t>
        <w:br/>
        <w:t xml:space="preserve">(в отношении ЛЗМД), указами губернатора Пермского края от 18 марта 2010 г. № 12 (в отношении гражданских служащих), от 19 июля 2012 г. № 44 </w:t>
        <w:br/>
        <w:t xml:space="preserve">(в отношении муниципальных служащих), или контроля за расходами. </w:t>
      </w:r>
    </w:p>
    <w:p>
      <w:pPr>
        <w:pStyle w:val="Normal"/>
        <w:ind w:firstLine="708"/>
        <w:rPr>
          <w:color w:val="000000"/>
        </w:rPr>
      </w:pPr>
      <w:r>
        <w:rPr>
          <w:color w:val="000000"/>
          <w:szCs w:val="24"/>
        </w:rPr>
        <w:t>Информация о результатах проведенного в 2025 г. анализа сведений</w:t>
        <w:br/>
        <w:t>о доходах, представленных обязанными лицами, отражена в нижеприведенной таблице (проанализировано 100% от представленных сведений).</w:t>
      </w:r>
    </w:p>
    <w:p>
      <w:pPr>
        <w:pStyle w:val="Normal"/>
        <w:ind w:firstLine="708"/>
        <w:jc w:val="right"/>
        <w:rPr>
          <w:szCs w:val="24"/>
        </w:rPr>
      </w:pPr>
      <w:r>
        <w:rPr>
          <w:szCs w:val="24"/>
        </w:rPr>
        <w:t>Таблица 1</w:t>
      </w:r>
    </w:p>
    <w:tbl>
      <w:tblPr>
        <w:tblStyle w:val="-25"/>
        <w:tblW w:w="946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165"/>
        <w:gridCol w:w="911"/>
        <w:gridCol w:w="1549"/>
        <w:gridCol w:w="1097"/>
        <w:gridCol w:w="1786"/>
        <w:gridCol w:w="956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16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b w:val="false"/>
                <w:szCs w:val="24"/>
              </w:rPr>
            </w:pPr>
            <w:r>
              <w:rPr>
                <w:b w:val="false"/>
                <w:bCs/>
                <w:szCs w:val="24"/>
              </w:rPr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bidi w:val="0"/>
              <w:spacing w:lineRule="exact" w:line="360" w:before="0" w:after="0"/>
              <w:ind w:hanging="0" w:left="0" w:righ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szCs w:val="24"/>
              </w:rPr>
            </w:pPr>
            <w:r>
              <w:rPr>
                <w:rFonts w:cs="Times New Roman"/>
                <w:b w:val="false"/>
                <w:bCs/>
                <w:kern w:val="0"/>
                <w:szCs w:val="24"/>
                <w:lang w:val="ru-RU" w:eastAsia="ru-RU" w:bidi="ar-SA"/>
              </w:rPr>
              <w:t>Всего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-164" w:right="-10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rFonts w:cs="Times New Roman"/>
                <w:b w:val="false"/>
                <w:bCs/>
                <w:kern w:val="0"/>
                <w:sz w:val="24"/>
                <w:szCs w:val="24"/>
                <w:lang w:val="ru-RU" w:eastAsia="ru-RU" w:bidi="ar-SA"/>
              </w:rPr>
              <w:t>Гражданские служащие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-164" w:right="-10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ЛЗГД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-109" w:right="-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rFonts w:cs="Times New Roman"/>
                <w:b w:val="false"/>
                <w:bCs/>
                <w:kern w:val="0"/>
                <w:sz w:val="24"/>
                <w:szCs w:val="24"/>
                <w:lang w:val="ru-RU" w:eastAsia="ru-RU" w:bidi="ar-SA"/>
              </w:rPr>
              <w:t>Муниципальные служащие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-109" w:right="-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ЛЗМД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6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5" w:themeFillTint="33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4"/>
              </w:rPr>
            </w:pPr>
            <w:r>
              <w:rPr>
                <w:rFonts w:cs="Times New Roman"/>
                <w:b/>
                <w:bCs/>
                <w:kern w:val="0"/>
                <w:szCs w:val="24"/>
                <w:lang w:val="ru-RU" w:eastAsia="ru-RU" w:bidi="ar-SA"/>
              </w:rPr>
              <w:t>Количество обязанных лиц, сведения о доходах которых проанализированы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5" w:themeFillTint="33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Cs w:val="24"/>
              </w:rPr>
            </w:pPr>
            <w:r>
              <w:rPr>
                <w:rFonts w:cs="Times New Roman"/>
                <w:b/>
                <w:kern w:val="0"/>
                <w:szCs w:val="24"/>
                <w:lang w:val="ru-RU" w:eastAsia="ru-RU" w:bidi="ar-SA"/>
              </w:rPr>
              <w:t>7534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8EAADB"/>
            </w:tcBorders>
            <w:shd w:color="auto" w:fill="D9E2F3" w:themeFill="accent5" w:themeFillTint="33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rFonts w:cs="Times New Roman"/>
                <w:kern w:val="0"/>
                <w:szCs w:val="24"/>
                <w:lang w:val="ru-RU" w:eastAsia="ru-RU" w:bidi="ar-SA"/>
              </w:rPr>
              <w:t>2274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5" w:themeFillTint="33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8EAADB"/>
            </w:tcBorders>
            <w:shd w:color="auto" w:fill="D9E2F3" w:themeFill="accent5" w:themeFillTint="33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rFonts w:cs="Times New Roman"/>
                <w:kern w:val="0"/>
                <w:szCs w:val="24"/>
                <w:lang w:val="ru-RU" w:eastAsia="ru-RU" w:bidi="ar-SA"/>
              </w:rPr>
              <w:t>5118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5" w:themeFillTint="33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127</w:t>
            </w:r>
          </w:p>
        </w:tc>
      </w:tr>
      <w:tr>
        <w:trPr/>
        <w:tc>
          <w:tcPr>
            <w:tcW w:w="316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4"/>
              </w:rPr>
            </w:pPr>
            <w:r>
              <w:rPr>
                <w:rFonts w:cs="Times New Roman"/>
                <w:b/>
                <w:bCs/>
                <w:kern w:val="0"/>
                <w:szCs w:val="24"/>
                <w:lang w:val="ru-RU" w:eastAsia="ru-RU" w:bidi="ar-SA"/>
              </w:rPr>
              <w:t>Количество проверочных мероприятий, инициированных по результатам анализа, из них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24"/>
              </w:rPr>
            </w:pPr>
            <w:r>
              <w:rPr>
                <w:rFonts w:cs="Times New Roman"/>
                <w:b/>
                <w:kern w:val="0"/>
                <w:szCs w:val="24"/>
                <w:lang w:val="ru-RU" w:eastAsia="ru-RU" w:bidi="ar-SA"/>
              </w:rPr>
              <w:t>30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8EAADB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rFonts w:cs="Times New Roman"/>
                <w:kern w:val="0"/>
                <w:szCs w:val="24"/>
                <w:lang w:val="ru-RU" w:eastAsia="ru-RU" w:bidi="ar-SA"/>
              </w:rPr>
              <w:t>29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8EAADB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rFonts w:cs="Times New Roman"/>
                <w:kern w:val="0"/>
                <w:szCs w:val="24"/>
                <w:lang w:val="ru-RU" w:eastAsia="ru-RU" w:bidi="ar-SA"/>
              </w:rPr>
              <w:t>1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6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5" w:themeFillTint="33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b w:val="false"/>
                <w:szCs w:val="24"/>
              </w:rPr>
            </w:pPr>
            <w:r>
              <w:rPr>
                <w:rFonts w:cs="Times New Roman"/>
                <w:b w:val="false"/>
                <w:bCs/>
                <w:kern w:val="0"/>
                <w:szCs w:val="24"/>
                <w:lang w:val="ru-RU" w:eastAsia="ru-RU" w:bidi="ar-SA"/>
              </w:rPr>
              <w:t>Контролей за расходами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5" w:themeFillTint="33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Cs w:val="24"/>
              </w:rPr>
            </w:pPr>
            <w:r>
              <w:rPr>
                <w:rFonts w:cs="Times New Roman"/>
                <w:b/>
                <w:kern w:val="0"/>
                <w:szCs w:val="24"/>
                <w:lang w:val="ru-RU" w:eastAsia="ru-RU" w:bidi="ar-SA"/>
              </w:rPr>
              <w:t>1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8EAADB"/>
            </w:tcBorders>
            <w:shd w:color="auto" w:fill="D9E2F3" w:themeFill="accent5" w:themeFillTint="33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rFonts w:cs="Times New Roman"/>
                <w:kern w:val="0"/>
                <w:szCs w:val="24"/>
                <w:lang w:val="ru-RU" w:eastAsia="ru-RU" w:bidi="ar-SA"/>
              </w:rPr>
              <w:t>0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5" w:themeFillTint="33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8EAADB"/>
            </w:tcBorders>
            <w:shd w:color="auto" w:fill="D9E2F3" w:themeFill="accent5" w:themeFillTint="33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rFonts w:cs="Times New Roman"/>
                <w:kern w:val="0"/>
                <w:szCs w:val="24"/>
                <w:lang w:val="ru-RU" w:eastAsia="ru-RU" w:bidi="ar-SA"/>
              </w:rPr>
              <w:t>1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5" w:themeFillTint="33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>
        <w:trPr/>
        <w:tc>
          <w:tcPr>
            <w:tcW w:w="316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b w:val="false"/>
                <w:szCs w:val="24"/>
              </w:rPr>
            </w:pPr>
            <w:r>
              <w:rPr>
                <w:rFonts w:cs="Times New Roman"/>
                <w:b w:val="false"/>
                <w:bCs/>
                <w:kern w:val="0"/>
                <w:szCs w:val="24"/>
                <w:lang w:val="ru-RU" w:eastAsia="ru-RU" w:bidi="ar-SA"/>
              </w:rPr>
              <w:t>Проверок полноты и достоверности сведений о доходах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24"/>
              </w:rPr>
            </w:pPr>
            <w:r>
              <w:rPr>
                <w:rFonts w:cs="Times New Roman"/>
                <w:b/>
                <w:kern w:val="0"/>
                <w:szCs w:val="24"/>
                <w:lang w:val="ru-RU" w:eastAsia="ru-RU" w:bidi="ar-SA"/>
              </w:rPr>
              <w:t>29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8EAADB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rFonts w:cs="Times New Roman"/>
                <w:kern w:val="0"/>
                <w:szCs w:val="24"/>
                <w:lang w:val="ru-RU" w:eastAsia="ru-RU" w:bidi="ar-SA"/>
              </w:rPr>
              <w:t>29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8EAADB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rFonts w:cs="Times New Roman"/>
                <w:kern w:val="0"/>
                <w:szCs w:val="24"/>
                <w:lang w:val="ru-RU" w:eastAsia="ru-RU" w:bidi="ar-SA"/>
              </w:rPr>
              <w:t>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6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5" w:themeFillTint="33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bCs w:val="false"/>
                <w:szCs w:val="24"/>
              </w:rPr>
            </w:pPr>
            <w:r>
              <w:rPr>
                <w:rFonts w:cs="Times New Roman"/>
                <w:b/>
                <w:bCs/>
                <w:kern w:val="0"/>
                <w:szCs w:val="24"/>
                <w:lang w:val="ru-RU" w:eastAsia="ru-RU" w:bidi="ar-SA"/>
              </w:rPr>
              <w:t>Выявлены факты представления недостоверных и (или) неполных сведений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5" w:themeFillTint="33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Cs w:val="24"/>
              </w:rPr>
            </w:pPr>
            <w:r>
              <w:rPr>
                <w:rFonts w:cs="Times New Roman"/>
                <w:b/>
                <w:kern w:val="0"/>
                <w:szCs w:val="24"/>
                <w:lang w:val="ru-RU" w:eastAsia="ru-RU" w:bidi="ar-SA"/>
              </w:rPr>
              <w:t>26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8EAADB"/>
            </w:tcBorders>
            <w:shd w:color="auto" w:fill="D9E2F3" w:themeFill="accent5" w:themeFillTint="33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Cs w:val="24"/>
              </w:rPr>
            </w:pPr>
            <w:r>
              <w:rPr>
                <w:rFonts w:cs="Times New Roman"/>
                <w:b/>
                <w:kern w:val="0"/>
                <w:szCs w:val="24"/>
                <w:lang w:val="ru-RU" w:eastAsia="ru-RU" w:bidi="ar-SA"/>
              </w:rPr>
              <w:t>24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5" w:themeFillTint="33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Cs w:val="24"/>
              </w:rPr>
            </w:pPr>
            <w:r>
              <w:rPr>
                <w:b/>
                <w:szCs w:val="24"/>
              </w:rPr>
              <w:t>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8EAADB"/>
            </w:tcBorders>
            <w:shd w:color="auto" w:fill="D9E2F3" w:themeFill="accent5" w:themeFillTint="33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rFonts w:cs="Times New Roman"/>
                <w:kern w:val="0"/>
                <w:szCs w:val="24"/>
                <w:lang w:val="ru-RU" w:eastAsia="ru-RU" w:bidi="ar-SA"/>
              </w:rPr>
              <w:t>1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5" w:themeFillTint="33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>
        <w:trPr>
          <w:trHeight w:val="615" w:hRule="atLeast"/>
        </w:trPr>
        <w:tc>
          <w:tcPr>
            <w:tcW w:w="316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4"/>
              </w:rPr>
            </w:pPr>
            <w:r>
              <w:rPr>
                <w:rFonts w:cs="Times New Roman"/>
                <w:b/>
                <w:bCs/>
                <w:kern w:val="0"/>
                <w:szCs w:val="24"/>
                <w:lang w:val="ru-RU" w:eastAsia="ru-RU" w:bidi="ar-SA"/>
              </w:rPr>
              <w:t>Привлечены к ответственности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24"/>
              </w:rPr>
            </w:pPr>
            <w:r>
              <w:rPr>
                <w:rFonts w:cs="Times New Roman"/>
                <w:b/>
                <w:kern w:val="0"/>
                <w:szCs w:val="24"/>
                <w:lang w:val="ru-RU" w:eastAsia="ru-RU" w:bidi="ar-SA"/>
              </w:rPr>
              <w:t>19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8EAADB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rFonts w:cs="Times New Roman"/>
                <w:kern w:val="0"/>
                <w:szCs w:val="24"/>
                <w:lang w:val="ru-RU" w:eastAsia="ru-RU" w:bidi="ar-SA"/>
              </w:rPr>
              <w:t>19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8EAADB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rFonts w:cs="Times New Roman"/>
                <w:kern w:val="0"/>
                <w:szCs w:val="24"/>
                <w:lang w:val="ru-RU" w:eastAsia="ru-RU" w:bidi="ar-SA"/>
              </w:rPr>
              <w:t>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</w:tbl>
    <w:p>
      <w:pPr>
        <w:pStyle w:val="Normal"/>
        <w:ind w:hanging="0"/>
        <w:rPr>
          <w:szCs w:val="24"/>
        </w:rPr>
      </w:pPr>
      <w:r>
        <w:rPr>
          <w:szCs w:val="24"/>
        </w:rPr>
        <w:tab/>
        <w:t xml:space="preserve">Проверка достоверности и полноты сведений о доходах осуществляется путем сверки информации, полученной от государственных органов и иных организаций, осуществляющих учет (регистрацию) доходов (объектов), подлежащих декларированию, с декларируемой информацией. </w:t>
      </w:r>
    </w:p>
    <w:p>
      <w:pPr>
        <w:pStyle w:val="Normal"/>
        <w:rPr>
          <w:szCs w:val="24"/>
        </w:rPr>
      </w:pPr>
      <w:r>
        <w:rPr>
          <w:szCs w:val="24"/>
        </w:rPr>
        <w:t>Кроме того, на данном этапе происходит анализ и оценка информации, в том числе находящейся в открытом доступе, с целью выявления признаков конфликта интересов и (или) совершения иных коррупционных правонарушений.</w:t>
      </w:r>
    </w:p>
    <w:p>
      <w:pPr>
        <w:pStyle w:val="Normal"/>
        <w:rPr>
          <w:color w:val="000000"/>
          <w:highlight w:val="none"/>
          <w:shd w:fill="auto" w:val="clear"/>
        </w:rPr>
      </w:pPr>
      <w:r>
        <w:rPr>
          <w:color w:val="000000"/>
          <w:szCs w:val="24"/>
          <w:shd w:fill="auto" w:val="clear"/>
        </w:rPr>
        <w:t xml:space="preserve">В отчетном периоде все сведения о доходах, представленные государственными гражданскими служащими, главами муниципальных образований были проанализированы с использованием ГИС «Посейдон». </w:t>
      </w:r>
    </w:p>
    <w:p>
      <w:pPr>
        <w:pStyle w:val="Normal"/>
        <w:rPr>
          <w:rFonts w:eastAsia="Calibri"/>
          <w:color w:val="FF0000"/>
          <w:szCs w:val="28"/>
          <w:lang w:eastAsia="en-US"/>
        </w:rPr>
      </w:pPr>
      <w:r>
        <w:rPr>
          <w:rFonts w:eastAsia="Calibri"/>
          <w:szCs w:val="28"/>
        </w:rPr>
        <w:t>Также во исполнение</w:t>
      </w:r>
      <w:r>
        <w:rPr>
          <w:rFonts w:eastAsia="Calibri"/>
          <w:szCs w:val="28"/>
          <w:lang w:eastAsia="en-US"/>
        </w:rPr>
        <w:t xml:space="preserve"> требований Федерального закона от 03 декабря 2012 г. № 230-ФЗ «О контроле за соответствием расходов лиц, замещающих государственные должности, и иных лиц их доходам» и закона края</w:t>
        <w:br/>
        <w:t>от 11 ноября 2013 г. № 239-ПК «О контроле за соответствием расходов лиц, замещающих государственные должности Пермского края, лиц, замещающих муниципальные должности в муниципальных образованиях Пермского края, государственных гражданских служащих Пермского края, муниципальных служащих в Пермском крае и иных лиц их доходам» проведен многоэтапный анализ сведений о доходах, представленных муниципальными служащими,</w:t>
        <w:br/>
        <w:t xml:space="preserve">в рамках которого изучены сведения в отношении </w:t>
      </w:r>
      <w:r>
        <w:rPr>
          <w:rFonts w:eastAsia="Calibri"/>
          <w:color w:val="000000"/>
          <w:szCs w:val="28"/>
          <w:lang w:eastAsia="en-US"/>
        </w:rPr>
        <w:t>509 муниципальных служащих, поступившие из 124 ОМСУ.</w:t>
      </w:r>
      <w:r>
        <w:rPr>
          <w:rFonts w:eastAsia="Calibri"/>
          <w:szCs w:val="28"/>
          <w:lang w:eastAsia="en-US"/>
        </w:rPr>
        <w:t xml:space="preserve"> По результатам анализа инициировано проведение 1 процедуры контроля за расходами.</w:t>
      </w:r>
    </w:p>
    <w:p>
      <w:pPr>
        <w:pStyle w:val="Normal"/>
        <w:ind w:hanging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</w:r>
    </w:p>
    <w:p>
      <w:pPr>
        <w:pStyle w:val="Heading1"/>
        <w:numPr>
          <w:ilvl w:val="1"/>
          <w:numId w:val="9"/>
        </w:numPr>
        <w:spacing w:before="0" w:after="120"/>
        <w:ind w:hanging="0" w:left="0"/>
        <w:rPr/>
      </w:pPr>
      <w:bookmarkStart w:id="12" w:name="_Toc468093784"/>
      <w:r>
        <w:rPr/>
        <w:t>Соблюдение гражданскими и муниципальными служащими ограничений, запретов, выполнение обязанностей, предусмотренных антикоррупционным законодательством</w:t>
      </w:r>
      <w:bookmarkEnd w:id="12"/>
    </w:p>
    <w:p>
      <w:pPr>
        <w:pStyle w:val="Normal"/>
        <w:rPr/>
      </w:pPr>
      <w:r>
        <w:rPr/>
        <w:t>Сведения о проверках соблюдения гражданскими и муниципальными служащими установленных ограничений и запретов, а также требований</w:t>
        <w:br/>
        <w:t>о предотвращении или урегулировании конфликта интересов представлены</w:t>
        <w:br/>
        <w:t>в нижеприведенной таблице.</w:t>
      </w:r>
    </w:p>
    <w:p>
      <w:pPr>
        <w:pStyle w:val="Normal"/>
        <w:jc w:val="right"/>
        <w:rPr/>
      </w:pPr>
      <w:r>
        <w:rPr/>
        <w:t>Таблица 2</w:t>
      </w:r>
    </w:p>
    <w:tbl>
      <w:tblPr>
        <w:tblStyle w:val="-25"/>
        <w:tblW w:w="935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051"/>
        <w:gridCol w:w="6741"/>
        <w:gridCol w:w="1559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51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b w:val="false"/>
                <w:szCs w:val="24"/>
              </w:rPr>
            </w:pPr>
            <w:r>
              <w:rPr>
                <w:rFonts w:cs="Times New Roman"/>
                <w:b w:val="false"/>
                <w:bCs/>
                <w:kern w:val="0"/>
                <w:szCs w:val="24"/>
                <w:lang w:val="ru-RU" w:eastAsia="ru-RU" w:bidi="ar-SA"/>
              </w:rPr>
              <w:t>1.</w:t>
            </w:r>
          </w:p>
        </w:tc>
        <w:tc>
          <w:tcPr>
            <w:tcW w:w="6741" w:type="dxa"/>
            <w:tcBorders>
              <w:top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szCs w:val="24"/>
              </w:rPr>
            </w:pPr>
            <w:r>
              <w:rPr>
                <w:rFonts w:cs="Times New Roman"/>
                <w:b w:val="false"/>
                <w:bCs/>
                <w:kern w:val="0"/>
                <w:szCs w:val="24"/>
                <w:lang w:val="ru-RU" w:eastAsia="ru-RU" w:bidi="ar-SA"/>
              </w:rPr>
              <w:t>Всего проведено проверок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szCs w:val="24"/>
                <w:lang w:val="en-US"/>
              </w:rPr>
            </w:pPr>
            <w:r>
              <w:rPr>
                <w:rFonts w:cs="Times New Roman"/>
                <w:b w:val="false"/>
                <w:bCs/>
                <w:kern w:val="0"/>
                <w:szCs w:val="24"/>
                <w:lang w:val="ru-RU" w:eastAsia="ru-RU" w:bidi="ar-SA"/>
              </w:rPr>
              <w:t>13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051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5" w:themeFillTint="33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b w:val="false"/>
                <w:szCs w:val="24"/>
              </w:rPr>
            </w:pPr>
            <w:r>
              <w:rPr>
                <w:rFonts w:cs="Times New Roman"/>
                <w:b w:val="false"/>
                <w:bCs/>
                <w:kern w:val="0"/>
                <w:szCs w:val="24"/>
                <w:lang w:val="ru-RU" w:eastAsia="ru-RU" w:bidi="ar-SA"/>
              </w:rPr>
              <w:t>2.</w:t>
            </w:r>
          </w:p>
        </w:tc>
        <w:tc>
          <w:tcPr>
            <w:tcW w:w="6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5" w:themeFillTint="33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rFonts w:cs="Times New Roman"/>
                <w:kern w:val="0"/>
                <w:szCs w:val="24"/>
                <w:lang w:val="ru-RU" w:eastAsia="ru-RU" w:bidi="ar-SA"/>
              </w:rPr>
              <w:t>Выявлено нарушений, из них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5" w:themeFillTint="33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rFonts w:cs="Times New Roman"/>
                <w:kern w:val="0"/>
                <w:szCs w:val="24"/>
                <w:lang w:val="ru-RU" w:eastAsia="ru-RU" w:bidi="ar-SA"/>
              </w:rPr>
              <w:t>13</w:t>
            </w:r>
          </w:p>
        </w:tc>
      </w:tr>
      <w:tr>
        <w:trPr/>
        <w:tc>
          <w:tcPr>
            <w:tcW w:w="1051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b w:val="false"/>
                <w:szCs w:val="24"/>
              </w:rPr>
            </w:pPr>
            <w:r>
              <w:rPr>
                <w:rFonts w:cs="Times New Roman"/>
                <w:b w:val="false"/>
                <w:bCs/>
                <w:kern w:val="0"/>
                <w:szCs w:val="24"/>
                <w:lang w:val="ru-RU" w:eastAsia="ru-RU" w:bidi="ar-SA"/>
              </w:rPr>
              <w:t>2.1.</w:t>
            </w:r>
          </w:p>
        </w:tc>
        <w:tc>
          <w:tcPr>
            <w:tcW w:w="6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rFonts w:cs="Times New Roman"/>
                <w:kern w:val="0"/>
                <w:szCs w:val="24"/>
                <w:lang w:val="ru-RU" w:eastAsia="ru-RU" w:bidi="ar-SA"/>
              </w:rPr>
              <w:t>несоблюдение запретов и ограничений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rFonts w:cs="Times New Roman"/>
                <w:kern w:val="0"/>
                <w:szCs w:val="24"/>
                <w:lang w:val="ru-RU" w:eastAsia="ru-RU" w:bidi="ar-SA"/>
              </w:rPr>
              <w:t>3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051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5" w:themeFillTint="33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b w:val="false"/>
                <w:szCs w:val="24"/>
              </w:rPr>
            </w:pPr>
            <w:r>
              <w:rPr>
                <w:rFonts w:cs="Times New Roman"/>
                <w:b w:val="false"/>
                <w:bCs/>
                <w:kern w:val="0"/>
                <w:szCs w:val="24"/>
                <w:lang w:val="ru-RU" w:eastAsia="ru-RU" w:bidi="ar-SA"/>
              </w:rPr>
              <w:t>2.2.</w:t>
            </w:r>
          </w:p>
        </w:tc>
        <w:tc>
          <w:tcPr>
            <w:tcW w:w="6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5" w:themeFillTint="33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rFonts w:cs="Times New Roman"/>
                <w:kern w:val="0"/>
                <w:szCs w:val="24"/>
                <w:lang w:val="ru-RU" w:eastAsia="ru-RU" w:bidi="ar-SA"/>
              </w:rPr>
              <w:t>несоблюдение требований об урегулировании конфликта интересов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5" w:themeFillTint="33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rFonts w:cs="Times New Roman"/>
                <w:kern w:val="0"/>
                <w:szCs w:val="24"/>
                <w:lang w:val="ru-RU" w:eastAsia="ru-RU" w:bidi="ar-SA"/>
              </w:rPr>
              <w:t>10</w:t>
            </w:r>
          </w:p>
        </w:tc>
      </w:tr>
      <w:tr>
        <w:trPr/>
        <w:tc>
          <w:tcPr>
            <w:tcW w:w="1051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b w:val="false"/>
                <w:szCs w:val="24"/>
              </w:rPr>
            </w:pPr>
            <w:r>
              <w:rPr>
                <w:rFonts w:cs="Times New Roman"/>
                <w:b w:val="false"/>
                <w:bCs/>
                <w:kern w:val="0"/>
                <w:szCs w:val="24"/>
                <w:lang w:val="ru-RU" w:eastAsia="ru-RU" w:bidi="ar-SA"/>
              </w:rPr>
              <w:t>3.</w:t>
            </w:r>
          </w:p>
        </w:tc>
        <w:tc>
          <w:tcPr>
            <w:tcW w:w="6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rFonts w:cs="Times New Roman"/>
                <w:kern w:val="0"/>
                <w:szCs w:val="24"/>
                <w:lang w:val="ru-RU" w:eastAsia="ru-RU" w:bidi="ar-SA"/>
              </w:rPr>
              <w:t>Применено взысканий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rFonts w:cs="Times New Roman"/>
                <w:kern w:val="0"/>
                <w:szCs w:val="24"/>
                <w:lang w:val="ru-RU" w:eastAsia="ru-RU" w:bidi="ar-SA"/>
              </w:rPr>
              <w:t>5</w:t>
            </w:r>
          </w:p>
        </w:tc>
      </w:tr>
    </w:tbl>
    <w:p>
      <w:pPr>
        <w:pStyle w:val="Normal"/>
        <w:ind w:hanging="0"/>
        <w:rPr/>
      </w:pPr>
      <w:r>
        <w:rPr/>
      </w:r>
    </w:p>
    <w:p>
      <w:pPr>
        <w:pStyle w:val="Normal"/>
        <w:rPr/>
      </w:pPr>
      <w:r>
        <w:rPr/>
        <w:t>В соответствии с требованиями указа губернатора края</w:t>
        <w:br/>
        <w:t>от 18 августа 2022 г. № 81 был проведен контроль исполнения законодательства о противодействии коррупции:</w:t>
      </w:r>
    </w:p>
    <w:p>
      <w:pPr>
        <w:pStyle w:val="Normal"/>
        <w:rPr/>
      </w:pPr>
      <w:r>
        <w:rPr/>
        <w:t>- в 3 ИОГВ (Министерстве территориального развития, Министерстве территориальной безопасности, Инспекции государственного технического надзора) в форме наблюдения;</w:t>
      </w:r>
    </w:p>
    <w:p>
      <w:pPr>
        <w:pStyle w:val="Normal"/>
        <w:rPr/>
      </w:pPr>
      <w:r>
        <w:rPr/>
        <w:t xml:space="preserve">- </w:t>
      </w:r>
      <w:r>
        <w:rPr>
          <w:color w:val="000000"/>
        </w:rPr>
        <w:t xml:space="preserve">в 12 ОМСУ и 20 </w:t>
      </w:r>
      <w:r>
        <w:rPr/>
        <w:t xml:space="preserve">подведомственных им муниципальных организациях  в Осинском городском округе, Пермском муниципальном округе, Верещагинском городском округе и Добрянском городском округе </w:t>
      </w:r>
      <w:r>
        <w:rPr>
          <w:color w:val="000000"/>
        </w:rPr>
        <w:t>в форме мониторинга.</w:t>
      </w:r>
    </w:p>
    <w:p>
      <w:pPr>
        <w:pStyle w:val="Normal"/>
        <w:rPr/>
      </w:pPr>
      <w:r>
        <w:rPr/>
        <w:t>По итогам указанных мероприятий даны рекомендации по устранению выявленных замечаний,</w:t>
      </w:r>
      <w:r>
        <w:rPr>
          <w:color w:val="FF0000"/>
        </w:rPr>
        <w:t xml:space="preserve"> </w:t>
      </w:r>
      <w:r>
        <w:rPr/>
        <w:t>большинство из которых касалось неполного размещения информации в сфере противодействия коррупции</w:t>
        <w:br/>
        <w:t>на официальных сайтах ОМСУ, а также проведена работа по их устранению.</w:t>
      </w:r>
    </w:p>
    <w:p>
      <w:pPr>
        <w:pStyle w:val="Normal"/>
        <w:rPr>
          <w:szCs w:val="28"/>
        </w:rPr>
      </w:pPr>
      <w:r>
        <w:rPr/>
        <w:t>Во исполнение Комплексного плана мероприятий по профилактике правонарушений при реализации национальных и федеральных проектов</w:t>
        <w:br/>
        <w:t xml:space="preserve">в Пермском крае на 2025 – 2030 годы, утвержденного 17 марта 2025 г. протоколом заседания координационного совещания по обеспечению правопорядка в крае, </w:t>
      </w:r>
      <w:r>
        <w:rPr>
          <w:szCs w:val="28"/>
        </w:rPr>
        <w:t>в отчетном периоде проведен анализа информации об участниках государственных и муниципальных закупок на предмет установления их аффилированных связей с гражданскими, муниципальными служащими, лицами, замещающими государственные и муниципальные должности, в том числе членами комиссий по осуществлению закупок, участвующими в закупочной деятельности в рамках реализации национальных проектов – выявлено 3 факта аффилированности, проведено 2 проверки соблюдения антикоррупционных требований, взыскания не применялись.</w:t>
      </w:r>
    </w:p>
    <w:p>
      <w:pPr>
        <w:pStyle w:val="Normal"/>
        <w:rPr/>
      </w:pPr>
      <w:r>
        <w:rPr/>
      </w:r>
    </w:p>
    <w:p>
      <w:pPr>
        <w:pStyle w:val="Heading1"/>
        <w:numPr>
          <w:ilvl w:val="1"/>
          <w:numId w:val="10"/>
        </w:numPr>
        <w:spacing w:before="0" w:after="120"/>
        <w:ind w:hanging="0" w:left="0"/>
        <w:rPr/>
      </w:pPr>
      <w:bookmarkStart w:id="13" w:name="_Toc468093785"/>
      <w:r>
        <w:rPr/>
        <w:t xml:space="preserve">Деятельность комиссий государственных и муниципальных органов </w:t>
        <w:br/>
        <w:t>по соблюдению требований к служебному поведению и урегулированию конфликта интересов</w:t>
      </w:r>
      <w:bookmarkEnd w:id="13"/>
    </w:p>
    <w:p>
      <w:pPr>
        <w:pStyle w:val="Normal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Порядки деятельности комиссий, образованных в государственных </w:t>
        <w:br/>
        <w:t>и муниципальных органах и уполномоченных на рассмотрение вопросов соблюдения требований антикоррупционного законодательства (далее – комиссии), утверждены указами губернатора края:</w:t>
      </w:r>
    </w:p>
    <w:p>
      <w:pPr>
        <w:pStyle w:val="Normal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- от 24 августа 2010 г. № 59 для гражданских служащих;</w:t>
      </w:r>
    </w:p>
    <w:p>
      <w:pPr>
        <w:pStyle w:val="Normal"/>
        <w:rPr>
          <w:color w:val="000000"/>
        </w:rPr>
      </w:pPr>
      <w:r>
        <w:rPr>
          <w:rFonts w:eastAsia="Calibri"/>
          <w:color w:val="000000"/>
          <w:szCs w:val="28"/>
          <w:lang w:eastAsia="en-US"/>
        </w:rPr>
        <w:t>- от 12 октября 2015 г. № 142 для ЛЗГД;</w:t>
      </w:r>
    </w:p>
    <w:p>
      <w:pPr>
        <w:pStyle w:val="Normal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- от 19 июля 2012 г. № 44 для муниципальных служащих;</w:t>
      </w:r>
    </w:p>
    <w:p>
      <w:pPr>
        <w:pStyle w:val="Normal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- от 28 февраля 2019 г. № 26 для ЛЗМД.</w:t>
      </w:r>
    </w:p>
    <w:p>
      <w:pPr>
        <w:pStyle w:val="Normal"/>
        <w:rPr>
          <w:color w:val="FF0000"/>
          <w:szCs w:val="28"/>
        </w:rPr>
      </w:pPr>
      <w:r>
        <w:rPr>
          <w:rFonts w:eastAsia="Calibri"/>
          <w:szCs w:val="28"/>
        </w:rPr>
        <w:t xml:space="preserve">В рамках заседаний комиссий в обязательном порядке исследуются все обстоятельства совершенного коррупционного правонарушения, решение принимается с учетом </w:t>
      </w:r>
      <w:r>
        <w:rPr>
          <w:szCs w:val="28"/>
        </w:rPr>
        <w:t xml:space="preserve">Обзора практики привлечения к ответственности государственных (муниципальных) служащих за несоблюдение запретов, ограничений, требований о предотвращении или об урегулировании конфликта интересов и неисполнении обязанностей, установленных в целях противодействия коррупции, разработанного Министерством труда </w:t>
        <w:br/>
        <w:t>и социальной защиты РФ (далее - Минтруд).</w:t>
      </w:r>
    </w:p>
    <w:p>
      <w:pPr>
        <w:pStyle w:val="Normal"/>
        <w:ind w:hanging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ab/>
        <w:t xml:space="preserve">Всего в государственных и муниципальных органах проведено 115 заседаний комиссий (в 2024 г. – 110 заседаний). </w:t>
      </w:r>
    </w:p>
    <w:p>
      <w:pPr>
        <w:pStyle w:val="Normal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В отчетном периоде </w:t>
      </w:r>
      <w:r>
        <w:rPr>
          <w:rFonts w:eastAsia="Calibri"/>
          <w:color w:val="000000"/>
          <w:szCs w:val="28"/>
          <w:lang w:eastAsia="en-US"/>
        </w:rPr>
        <w:t>была продолжена</w:t>
      </w:r>
      <w:r>
        <w:rPr>
          <w:rFonts w:eastAsia="Calibri"/>
          <w:szCs w:val="28"/>
          <w:lang w:eastAsia="en-US"/>
        </w:rPr>
        <w:t xml:space="preserve"> ориентированность в деятельности комиссий на рассмотрение вопросов, касающихся соблюдения требований об урегулировании конфликта интересов (см. диаграммы </w:t>
      </w:r>
      <w:r>
        <w:rPr>
          <w:rFonts w:eastAsia="Calibri"/>
          <w:szCs w:val="28"/>
          <w:lang w:eastAsia="en-US"/>
        </w:rPr>
        <w:t>4</w:t>
      </w:r>
      <w:r>
        <w:rPr>
          <w:rFonts w:eastAsia="Calibri"/>
          <w:szCs w:val="28"/>
          <w:lang w:eastAsia="en-US"/>
        </w:rPr>
        <w:t xml:space="preserve">, </w:t>
      </w:r>
      <w:r>
        <w:rPr>
          <w:rFonts w:eastAsia="Calibri"/>
          <w:szCs w:val="28"/>
          <w:lang w:eastAsia="en-US"/>
        </w:rPr>
        <w:t>5</w:t>
      </w:r>
      <w:r>
        <w:rPr>
          <w:rFonts w:eastAsia="Calibri"/>
          <w:szCs w:val="28"/>
          <w:lang w:eastAsia="en-US"/>
        </w:rPr>
        <w:t xml:space="preserve">). </w:t>
      </w:r>
      <w:r/>
      <w:r>
        <w:rPr/>
        <w:drawing>
          <wp:anchor behindDoc="0" distT="0" distB="0" distL="0" distR="0" simplePos="0" locked="0" layoutInCell="1" allowOverlap="1" relativeHeight="5">
            <wp:simplePos x="0" y="0"/>
            <wp:positionH relativeFrom="column">
              <wp:posOffset>-19685</wp:posOffset>
            </wp:positionH>
            <wp:positionV relativeFrom="paragraph">
              <wp:posOffset>734060</wp:posOffset>
            </wp:positionV>
            <wp:extent cx="5927725" cy="2051685"/>
            <wp:effectExtent l="0" t="0" r="0" b="0"/>
            <wp:wrapTopAndBottom/>
            <wp:docPr id="7" name="Объект 169" descr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  <w:t xml:space="preserve">Диаграмма </w:t>
      </w:r>
      <w:r>
        <w:rPr/>
        <w:t>4</w:t>
      </w:r>
      <w:r>
        <w:rPr/>
        <w:t>. Информация о рассмотренных комиссиями вопросах</w:t>
      </w:r>
    </w:p>
    <w:p>
      <w:pPr>
        <w:pStyle w:val="Normal"/>
        <w:ind w:hanging="0"/>
        <w:rPr>
          <w:rFonts w:eastAsia="Calibri"/>
          <w:szCs w:val="28"/>
          <w:lang w:eastAsia="en-US"/>
        </w:rPr>
      </w:pPr>
      <w:r/>
      <w:r>
        <w:rPr>
          <w:rFonts w:eastAsia="Calibri"/>
          <w:szCs w:val="28"/>
          <w:lang w:eastAsia="en-US"/>
        </w:rPr>
        <w:drawing>
          <wp:anchor behindDoc="0" distT="0" distB="0" distL="0" distR="0" simplePos="0" locked="0" layoutInCell="1" allowOverlap="1" relativeHeight="6">
            <wp:simplePos x="0" y="0"/>
            <wp:positionH relativeFrom="column">
              <wp:posOffset>24765</wp:posOffset>
            </wp:positionH>
            <wp:positionV relativeFrom="paragraph">
              <wp:posOffset>70485</wp:posOffset>
            </wp:positionV>
            <wp:extent cx="5972175" cy="2028825"/>
            <wp:effectExtent l="0" t="0" r="0" b="0"/>
            <wp:wrapTopAndBottom/>
            <wp:docPr id="8" name="Объект2" descr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  <w:t xml:space="preserve">Диаграмма </w:t>
      </w:r>
      <w:r>
        <w:rPr>
          <w:rFonts w:eastAsia="Calibri"/>
          <w:szCs w:val="28"/>
          <w:lang w:eastAsia="en-US"/>
        </w:rPr>
        <w:t>5</w:t>
      </w:r>
      <w:r>
        <w:rPr>
          <w:rFonts w:eastAsia="Calibri"/>
          <w:szCs w:val="28"/>
          <w:lang w:eastAsia="en-US"/>
        </w:rPr>
        <w:t xml:space="preserve">. Сведения о применении взысканий по итогам рассмотрения </w:t>
        <w:br/>
        <w:t>информации на заседаниях комиссий</w:t>
      </w:r>
    </w:p>
    <w:p>
      <w:pPr>
        <w:pStyle w:val="Normal"/>
        <w:rPr>
          <w:szCs w:val="28"/>
        </w:rPr>
      </w:pPr>
      <w:r>
        <w:rPr>
          <w:szCs w:val="28"/>
        </w:rPr>
        <w:t xml:space="preserve">Отдельно отмечается, что в 2025 г. к 7 должностным лицам </w:t>
        <w:br/>
        <w:t>(1 гражданский служащий, 4 муниципальных служащих и 2 ЛЗМД) применена мера ответственности в виде увольнения в связи с утратой доверия (удаления в отставку) за совершение коррупционного правонарушения, выразившегося в непринятии мер по урегулированию конфликта интересов.</w:t>
      </w:r>
    </w:p>
    <w:p>
      <w:pPr>
        <w:pStyle w:val="Normal"/>
        <w:rPr>
          <w:szCs w:val="26"/>
        </w:rPr>
      </w:pPr>
      <w:r>
        <w:rPr>
          <w:szCs w:val="28"/>
        </w:rPr>
        <w:t xml:space="preserve">В целях обеспечения контроля за применением мер юридической ответственности за совершение гражданскими и муниципальными служащими коррупционных правонарушений </w:t>
      </w:r>
      <w:r>
        <w:rPr>
          <w:szCs w:val="26"/>
        </w:rPr>
        <w:t>представитель ОПКиИП входит в состав комиссий по соблюдению требований к служебному поведению и урегулированию конфликта интересов, образованных в государственных органах и администрациях муниципальных и городских округов.</w:t>
      </w:r>
    </w:p>
    <w:p>
      <w:pPr>
        <w:pStyle w:val="Normal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За отчетный период с участием гражданских служащих ОПКиИП было проведено </w:t>
      </w:r>
      <w:r>
        <w:rPr>
          <w:rFonts w:eastAsia="Calibri"/>
          <w:color w:val="000000"/>
          <w:szCs w:val="28"/>
          <w:lang w:eastAsia="en-US"/>
        </w:rPr>
        <w:t>70 заседаний</w:t>
      </w:r>
      <w:r>
        <w:rPr>
          <w:rFonts w:eastAsia="Calibri"/>
          <w:szCs w:val="28"/>
          <w:lang w:eastAsia="en-US"/>
        </w:rPr>
        <w:t xml:space="preserve"> комиссий по соблюдению требований к служебному поведению гражданских и муниципальных служащих.</w:t>
      </w:r>
    </w:p>
    <w:p>
      <w:pPr>
        <w:pStyle w:val="Normal"/>
        <w:ind w:hanging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</w:r>
    </w:p>
    <w:p>
      <w:pPr>
        <w:pStyle w:val="Heading1"/>
        <w:numPr>
          <w:ilvl w:val="0"/>
          <w:numId w:val="1"/>
        </w:numPr>
        <w:spacing w:before="0" w:after="0"/>
        <w:rPr/>
      </w:pPr>
      <w:r>
        <w:rPr>
          <w:rFonts w:eastAsia="Calibri"/>
          <w:lang w:eastAsia="en-US"/>
        </w:rPr>
        <w:t>АНТИКОРРУПЦИОННЫЕ ПРОСВЕЩЕНИЕ И ПРОПАГАНДА</w:t>
      </w:r>
    </w:p>
    <w:p>
      <w:pPr>
        <w:pStyle w:val="Heading1"/>
        <w:numPr>
          <w:ilvl w:val="1"/>
          <w:numId w:val="11"/>
        </w:numPr>
        <w:spacing w:before="120" w:after="120"/>
        <w:ind w:hanging="0" w:left="0"/>
        <w:rPr/>
      </w:pPr>
      <w:r>
        <w:rPr/>
        <w:t>Обучение по вопросам применения антикоррупционного законодательства</w:t>
      </w:r>
    </w:p>
    <w:p>
      <w:pPr>
        <w:pStyle w:val="Normal"/>
        <w:rPr>
          <w:szCs w:val="20"/>
          <w:lang w:eastAsia="en-US"/>
        </w:rPr>
      </w:pPr>
      <w:r>
        <w:rPr>
          <w:szCs w:val="20"/>
          <w:lang w:eastAsia="en-US"/>
        </w:rPr>
        <w:t xml:space="preserve">Ежегодно обеспечивается выполнение государственного заказа </w:t>
        <w:br/>
        <w:t xml:space="preserve">по повышению квалификации гражданских и муниципальных служащих, </w:t>
        <w:br/>
        <w:t xml:space="preserve">в том числе по учебным программам в сфере противодействия коррупции. </w:t>
        <w:br/>
      </w:r>
      <w:r>
        <w:rPr>
          <w:szCs w:val="24"/>
        </w:rPr>
        <w:t>Так, в отчетном периоде повышение квалификации по антикоррупционной тематике</w:t>
      </w:r>
      <w:r>
        <w:rPr>
          <w:color w:val="FF0000"/>
          <w:szCs w:val="24"/>
        </w:rPr>
        <w:t xml:space="preserve"> </w:t>
      </w:r>
      <w:r>
        <w:rPr>
          <w:szCs w:val="24"/>
        </w:rPr>
        <w:t>прошли 360 гражданских служащих и 341 муниципальный служащий.</w:t>
      </w:r>
    </w:p>
    <w:p>
      <w:pPr>
        <w:pStyle w:val="Normal"/>
        <w:spacing w:before="0" w:after="160"/>
        <w:ind w:firstLine="708"/>
        <w:contextualSpacing/>
        <w:rPr>
          <w:rFonts w:eastAsia="Calibri"/>
          <w:color w:val="FF0000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Администрацией губернатора организовано проведение межведомственных методических семинаров для должностных лиц, ответственных за профилактику коррупционных и иных правонарушений в ГО и ОМСУ, в которых </w:t>
      </w:r>
      <w:r>
        <w:rPr>
          <w:rFonts w:eastAsia="Calibri"/>
          <w:color w:val="000000"/>
          <w:szCs w:val="28"/>
          <w:lang w:eastAsia="en-US"/>
        </w:rPr>
        <w:t>приняли участие в общей сложности 993 гражданских и муниципальных служащих а также иных должностных лиц.</w:t>
      </w:r>
    </w:p>
    <w:p>
      <w:pPr>
        <w:pStyle w:val="Normal"/>
        <w:spacing w:before="0" w:after="160"/>
        <w:ind w:firstLine="708"/>
        <w:contextualSpacing/>
        <w:rPr>
          <w:rFonts w:eastAsia="Calibri"/>
          <w:szCs w:val="28"/>
        </w:rPr>
      </w:pPr>
      <w:r>
        <w:rPr>
          <w:rFonts w:eastAsia="Calibri"/>
          <w:szCs w:val="28"/>
          <w:lang w:eastAsia="en-US"/>
        </w:rPr>
        <w:t>Так, 6 и 10 февраля 2025 г. проведены 2 семинара</w:t>
        <w:br/>
        <w:t>для различных категорий обязанных лиц по вопросам представления сведений о доходах</w:t>
      </w:r>
      <w:r>
        <w:rPr>
          <w:szCs w:val="24"/>
        </w:rPr>
        <w:t xml:space="preserve"> за отчетный период 2024 года (рассмотрены новеллы соответствующих методических рекомендаций Минтруда и практика в крае), в которых приняли участие 498 гражданских и муниципальных служащих и 91 ЛЗГД</w:t>
      </w:r>
      <w:r>
        <w:rPr>
          <w:rFonts w:eastAsia="Calibri"/>
          <w:szCs w:val="28"/>
        </w:rPr>
        <w:t>.</w:t>
      </w:r>
    </w:p>
    <w:p>
      <w:pPr>
        <w:pStyle w:val="Normal"/>
        <w:spacing w:before="0" w:after="160"/>
        <w:ind w:firstLine="708"/>
        <w:contextualSpacing/>
        <w:rPr>
          <w:rFonts w:eastAsia="Calibri"/>
          <w:szCs w:val="28"/>
        </w:rPr>
      </w:pPr>
      <w:r>
        <w:rPr>
          <w:rFonts w:eastAsia="Calibri"/>
          <w:szCs w:val="28"/>
        </w:rPr>
        <w:t>3 октября 2025 г. совместно с департаментом государственной службы Администрации губернатора проведен семинар-совещание для уполномоченных гражданских и муниципальных служащих, на котором, помимо прочего рассмотрены актуальные вопросы применения антикоррупционного законодательства (порядок рассмотрения уведомлений об иной оплачиваемой работы, о</w:t>
      </w:r>
      <w:r>
        <w:rPr>
          <w:rFonts w:eastAsia="Calibri"/>
          <w:color w:val="000000"/>
          <w:szCs w:val="28"/>
        </w:rPr>
        <w:t>собенности регулирования конфликта интересов для руководителей и иных работников подведомственных организаций, обзор нарушений, выявляемых при проведении контроля соблюдения антикоррупционного законодательства в ОМСУ, применение взысканий за коррупционные правонарушения</w:t>
      </w:r>
      <w:r>
        <w:rPr>
          <w:rFonts w:eastAsia="Calibri"/>
          <w:szCs w:val="28"/>
        </w:rPr>
        <w:t>), в семинаре приняли участие</w:t>
      </w:r>
      <w:r>
        <w:rPr>
          <w:rFonts w:eastAsia="Calibri"/>
          <w:color w:val="FF0000"/>
          <w:szCs w:val="28"/>
        </w:rPr>
        <w:t xml:space="preserve"> </w:t>
      </w:r>
      <w:r>
        <w:rPr>
          <w:rFonts w:eastAsia="Calibri"/>
          <w:color w:val="000000"/>
          <w:szCs w:val="28"/>
        </w:rPr>
        <w:t>150 гражданских и муниципальных служащих.</w:t>
      </w:r>
    </w:p>
    <w:p>
      <w:pPr>
        <w:pStyle w:val="Normal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Кроме того, совместно с ИОГВ проведены семинары по вопросам соблюдения требований антикоррупционного законодательства </w:t>
        <w:br/>
        <w:t xml:space="preserve">для гражданских служащих </w:t>
      </w:r>
      <w:r>
        <w:rPr>
          <w:rFonts w:eastAsia="Calibri"/>
          <w:color w:val="000000"/>
          <w:szCs w:val="28"/>
        </w:rPr>
        <w:t>Министерства территориального развития, Министерства по регулированию контрактной системы в сфере закупок, Министерства строительства, а также семинар для муниципальных служащих и руководителей муниципальных учреждения Пермского муниципального округа</w:t>
      </w:r>
      <w:r>
        <w:rPr>
          <w:rFonts w:eastAsia="Calibri"/>
          <w:szCs w:val="28"/>
        </w:rPr>
        <w:t>.</w:t>
      </w:r>
    </w:p>
    <w:p>
      <w:pPr>
        <w:pStyle w:val="ListParagraph"/>
        <w:numPr>
          <w:ilvl w:val="1"/>
          <w:numId w:val="12"/>
        </w:numPr>
        <w:spacing w:before="0" w:after="120"/>
        <w:contextualSpacing/>
        <w:jc w:val="center"/>
        <w:rPr>
          <w:b/>
          <w:szCs w:val="28"/>
        </w:rPr>
      </w:pPr>
      <w:r>
        <w:rPr>
          <w:b/>
          <w:szCs w:val="28"/>
        </w:rPr>
        <w:t>Иные просветительские мероприятия</w:t>
      </w:r>
    </w:p>
    <w:p>
      <w:pPr>
        <w:pStyle w:val="Normal"/>
        <w:rPr/>
      </w:pPr>
      <w:r>
        <w:rPr/>
        <w:t xml:space="preserve">Проведена работа по размещению на специально созданных группах </w:t>
        <w:br/>
        <w:t xml:space="preserve">в 2 социальных сетях </w:t>
      </w:r>
      <w:r>
        <w:rPr>
          <w:color w:val="000000"/>
        </w:rPr>
        <w:t>32</w:t>
      </w:r>
      <w:r>
        <w:rPr/>
        <w:t xml:space="preserve"> информационных сообщений (постов) антикоррупционной направленности, в том числе об изменениях законодательства, о проводимых профилактических мероприятиях. Также </w:t>
        <w:br/>
        <w:t>реализованы мероприятия по продвижению постов путем таргетированной рекламы (распространение для определенной целевой аудитории), общее количество просмотров размещенных информационных сообщений составило 692 339 единиц.</w:t>
      </w:r>
    </w:p>
    <w:p>
      <w:pPr>
        <w:pStyle w:val="Normal"/>
        <w:ind w:hanging="0"/>
        <w:rPr>
          <w:szCs w:val="28"/>
          <w:shd w:fill="FFFFFF" w:val="clear"/>
        </w:rPr>
      </w:pPr>
      <w:r>
        <w:rPr>
          <w:szCs w:val="28"/>
          <w:shd w:fill="FFFFFF" w:val="clear"/>
        </w:rPr>
        <w:t xml:space="preserve">Рис. 1. Изображения постов со страницы «Профилактика коррупции </w:t>
        <w:br/>
        <w:t>в Пермском крае» в социальной сети</w:t>
      </w:r>
    </w:p>
    <w:tbl>
      <w:tblPr>
        <w:tblStyle w:val="-11"/>
        <w:tblW w:w="9781" w:type="dxa"/>
        <w:jc w:val="left"/>
        <w:tblInd w:w="-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826"/>
        <w:gridCol w:w="4262"/>
        <w:gridCol w:w="2693"/>
      </w:tblGrid>
      <w:tr>
        <w:trPr>
          <w:trHeight w:val="2745" w:hRule="atLeast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826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bottom w:val="single" w:sz="12" w:space="0" w:color="9CC2E5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rPr>
                <w:rFonts w:ascii="Calibri" w:hAnsi="Calibri" w:eastAsia="Calibri" w:asciiTheme="minorHAnsi" w:eastAsiaTheme="minorHAnsi" w:hAnsiTheme="minorHAnsi"/>
                <w:sz w:val="22"/>
              </w:rPr>
            </w:pPr>
            <w:r>
              <w:rPr>
                <w:rFonts w:eastAsia="Calibri" w:eastAsiaTheme="minorHAnsi" w:ascii="Calibri" w:hAnsi="Calibri"/>
                <w:b/>
                <w:bCs/>
                <w:sz w:val="22"/>
              </w:rPr>
              <w:drawing>
                <wp:anchor behindDoc="0" distT="0" distB="0" distL="0" distR="0" simplePos="0" locked="0" layoutInCell="0" allowOverlap="1" relativeHeight="11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1569720" cy="1569720"/>
                  <wp:effectExtent l="0" t="0" r="0" b="0"/>
                  <wp:wrapSquare wrapText="largest"/>
                  <wp:docPr id="9" name="Изображение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Изображение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9720" cy="1569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62" w:type="dxa"/>
            <w:tcBorders>
              <w:bottom w:val="single" w:sz="12" w:space="0" w:color="9CC2E5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asciiTheme="minorHAnsi" w:eastAsiaTheme="minorHAnsi" w:hAnsiTheme="minorHAnsi"/>
                <w:sz w:val="22"/>
              </w:rPr>
            </w:pPr>
            <w:r>
              <w:rPr>
                <w:rFonts w:eastAsia="Calibri" w:eastAsiaTheme="minorHAnsi" w:ascii="Calibri" w:hAnsi="Calibri"/>
                <w:b/>
                <w:bCs/>
                <w:sz w:val="22"/>
              </w:rPr>
              <w:drawing>
                <wp:anchor behindDoc="0" distT="0" distB="0" distL="0" distR="0" simplePos="0" locked="0" layoutInCell="0" allowOverlap="1" relativeHeight="12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2441575" cy="1584325"/>
                  <wp:effectExtent l="0" t="0" r="0" b="0"/>
                  <wp:wrapSquare wrapText="largest"/>
                  <wp:docPr id="10" name="Изображение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Изображение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575" cy="1584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93" w:type="dxa"/>
            <w:tcBorders>
              <w:bottom w:val="single" w:sz="12" w:space="0" w:color="9CC2E5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asciiTheme="minorHAnsi" w:eastAsiaTheme="minorHAnsi" w:hAnsiTheme="minorHAnsi"/>
                <w:sz w:val="22"/>
              </w:rPr>
            </w:pPr>
            <w:r>
              <w:rPr>
                <w:rFonts w:eastAsia="Calibri" w:eastAsiaTheme="minorHAnsi" w:ascii="Calibri" w:hAnsi="Calibri"/>
                <w:b/>
                <w:bCs/>
                <w:sz w:val="22"/>
              </w:rPr>
              <w:drawing>
                <wp:anchor behindDoc="0" distT="0" distB="0" distL="0" distR="0" simplePos="0" locked="0" layoutInCell="0" allowOverlap="1" relativeHeight="13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1517650" cy="1588770"/>
                  <wp:effectExtent l="0" t="0" r="0" b="0"/>
                  <wp:wrapSquare wrapText="largest"/>
                  <wp:docPr id="11" name="Изображение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Изображение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7650" cy="1588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2380" w:hRule="atLeast"/>
        </w:trPr>
        <w:tc>
          <w:tcPr>
            <w:tcW w:w="2826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rPr>
                <w:rFonts w:ascii="Calibri" w:hAnsi="Calibri" w:eastAsia="Calibri" w:asciiTheme="minorHAnsi" w:eastAsiaTheme="minorHAnsi" w:hAnsiTheme="minorHAnsi"/>
                <w:sz w:val="22"/>
              </w:rPr>
            </w:pPr>
            <w:r>
              <w:rPr>
                <w:rFonts w:eastAsia="Calibri" w:eastAsiaTheme="minorHAnsi" w:ascii="Calibri" w:hAnsi="Calibri"/>
                <w:b/>
                <w:bCs/>
                <w:sz w:val="22"/>
              </w:rPr>
              <w:drawing>
                <wp:anchor behindDoc="0" distT="0" distB="0" distL="0" distR="0" simplePos="0" locked="0" layoutInCell="0" allowOverlap="1" relativeHeight="14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1659255" cy="1705610"/>
                  <wp:effectExtent l="0" t="0" r="0" b="0"/>
                  <wp:wrapSquare wrapText="largest"/>
                  <wp:docPr id="12" name="Изображение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Изображение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9255" cy="17056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asciiTheme="minorHAnsi" w:eastAsiaTheme="minorHAnsi" w:hAnsiTheme="minorHAnsi"/>
                <w:sz w:val="22"/>
              </w:rPr>
            </w:pPr>
            <w:r>
              <w:rPr>
                <w:rFonts w:eastAsia="Calibri" w:eastAsiaTheme="minorHAnsi" w:ascii="Calibri" w:hAnsi="Calibri"/>
                <w:sz w:val="22"/>
              </w:rPr>
              <w:drawing>
                <wp:anchor behindDoc="0" distT="0" distB="0" distL="0" distR="0" simplePos="0" locked="0" layoutInCell="0" allowOverlap="1" relativeHeight="16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2567305" cy="1696085"/>
                  <wp:effectExtent l="0" t="0" r="0" b="0"/>
                  <wp:wrapSquare wrapText="largest"/>
                  <wp:docPr id="13" name="Изображение1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Изображение1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7305" cy="16960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asciiTheme="minorHAnsi" w:eastAsiaTheme="minorHAnsi" w:hAnsiTheme="minorHAnsi"/>
                <w:sz w:val="22"/>
              </w:rPr>
            </w:pPr>
            <w:r>
              <w:rPr>
                <w:rFonts w:eastAsia="Calibri" w:eastAsiaTheme="minorHAnsi" w:ascii="Calibri" w:hAnsi="Calibri"/>
                <w:sz w:val="22"/>
              </w:rPr>
              <w:drawing>
                <wp:anchor behindDoc="0" distT="0" distB="0" distL="0" distR="0" simplePos="0" locked="0" layoutInCell="0" allowOverlap="1" relativeHeight="15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1572895" cy="1696085"/>
                  <wp:effectExtent l="0" t="0" r="0" b="0"/>
                  <wp:wrapSquare wrapText="largest"/>
                  <wp:docPr id="14" name="Изображение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Изображение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2895" cy="16960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pStyle w:val="Normal"/>
        <w:ind w:hanging="0"/>
        <w:rPr>
          <w:color w:val="000000"/>
        </w:rPr>
      </w:pPr>
      <w:r>
        <w:rPr>
          <w:color w:val="000000"/>
        </w:rPr>
        <w:tab/>
        <w:t>Также разъяснительная работа проводилась путем направления информационных писем в ГО, ОМСУ с оперативным разъяснением актуальных изменений антикоррупционного законодательства.</w:t>
      </w:r>
    </w:p>
    <w:p>
      <w:pPr>
        <w:pStyle w:val="Normal"/>
        <w:ind w:hanging="0"/>
        <w:rPr>
          <w:color w:val="000000"/>
        </w:rPr>
      </w:pPr>
      <w:r>
        <w:rPr>
          <w:color w:val="000000"/>
        </w:rPr>
        <w:tab/>
        <w:t>Впервые проведено антикоррупционное мероприятие для студентов высших и средних учебных заведений г. Перми в форме Дебатов (обмен мнениями по вопросам антикоррупционной тематики в режиме состязания). Всего приняли участие 1</w:t>
      </w:r>
      <w:r>
        <w:rPr>
          <w:color w:val="000000"/>
        </w:rPr>
        <w:t>5</w:t>
      </w:r>
      <w:r>
        <w:rPr>
          <w:color w:val="000000"/>
        </w:rPr>
        <w:t xml:space="preserve"> команд </w:t>
      </w:r>
      <w:r>
        <w:rPr>
          <w:color w:val="000000"/>
        </w:rPr>
        <w:t xml:space="preserve">(всего </w:t>
      </w:r>
      <w:r>
        <w:rPr>
          <w:color w:val="000000"/>
        </w:rPr>
        <w:t>70</w:t>
      </w:r>
      <w:r>
        <w:rPr>
          <w:color w:val="000000"/>
        </w:rPr>
        <w:t xml:space="preserve"> студентов), которые соревновались по олимпийской системе.</w:t>
      </w:r>
    </w:p>
    <w:p>
      <w:pPr>
        <w:pStyle w:val="Normal"/>
        <w:ind w:hanging="0"/>
        <w:rPr>
          <w:color w:val="000000"/>
        </w:rPr>
      </w:pPr>
      <w:r>
        <w:rPr>
          <w:color w:val="FF0000"/>
        </w:rPr>
        <w:tab/>
      </w:r>
      <w:r>
        <w:rPr>
          <w:color w:val="000000"/>
        </w:rPr>
        <w:t>П</w:t>
      </w:r>
      <w:r>
        <w:rPr>
          <w:color w:val="000000"/>
        </w:rPr>
        <w:t xml:space="preserve">обедителем стала команда Пермского научно-исследовательского политехнического университета, </w:t>
      </w:r>
      <w:r>
        <w:rPr>
          <w:color w:val="000000"/>
        </w:rPr>
        <w:t>отдельно были отмечены призами участники за лучшее индивидуальное выступление и за лучший видеоролик о мероприятии.</w:t>
      </w:r>
    </w:p>
    <w:p>
      <w:pPr>
        <w:pStyle w:val="Normal"/>
        <w:ind w:hanging="0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 xml:space="preserve">Яркие моменты мероприятия </w:t>
      </w:r>
      <w:r>
        <w:rPr>
          <w:color w:val="000000"/>
        </w:rPr>
        <w:t xml:space="preserve">можно </w:t>
      </w:r>
      <w:r>
        <w:rPr>
          <w:color w:val="000000"/>
        </w:rPr>
        <w:t>посмотреть</w:t>
      </w:r>
      <w:r>
        <w:rPr>
          <w:color w:val="000000"/>
        </w:rPr>
        <w:t xml:space="preserve"> </w:t>
      </w:r>
      <w:r>
        <w:rPr>
          <w:color w:val="000000"/>
        </w:rPr>
        <w:t>на странице «Профилактика коррупции в Пермском крае» в В</w:t>
      </w:r>
      <w:r>
        <w:rPr>
          <w:color w:val="000000"/>
        </w:rPr>
        <w:t>К</w:t>
      </w:r>
      <w:r>
        <w:rPr>
          <w:color w:val="000000"/>
        </w:rPr>
        <w:t xml:space="preserve">онтакте: </w:t>
      </w:r>
      <w:r>
        <w:rPr>
          <w:color w:val="000000"/>
        </w:rPr>
        <w:t xml:space="preserve">фото - </w:t>
      </w:r>
      <w:hyperlink r:id="rId18">
        <w:r>
          <w:rPr>
            <w:rStyle w:val="Hyperlink"/>
            <w:color w:val="000000"/>
          </w:rPr>
          <w:t>https://vk.com/album-119466784_307887614</w:t>
        </w:r>
      </w:hyperlink>
      <w:r>
        <w:rPr>
          <w:color w:val="000000"/>
        </w:rPr>
        <w:t xml:space="preserve">, видео - </w:t>
      </w:r>
      <w:hyperlink r:id="rId19">
        <w:r>
          <w:rPr>
            <w:rStyle w:val="Hyperlink"/>
            <w:color w:val="000000"/>
            <w:u w:val="none"/>
          </w:rPr>
          <w:t>https://vkvideo.ru/@stopcor_permkrai</w:t>
        </w:r>
      </w:hyperlink>
      <w:r>
        <w:rPr>
          <w:rStyle w:val="Hyperlink"/>
          <w:color w:val="000000"/>
          <w:u w:val="none"/>
        </w:rPr>
        <w:t>\</w:t>
      </w:r>
      <w:r>
        <w:rPr>
          <w:rStyle w:val="Hyperlink"/>
          <w:color w:val="000000"/>
          <w:u w:val="none"/>
        </w:rPr>
        <w:t>.</w:t>
      </w:r>
    </w:p>
    <w:p>
      <w:pPr>
        <w:pStyle w:val="Normal"/>
        <w:ind w:hanging="0"/>
        <w:rPr>
          <w:color w:val="000000"/>
        </w:rPr>
      </w:pPr>
      <w:r>
        <w:rPr>
          <w:color w:val="FF0000"/>
        </w:rPr>
      </w:r>
    </w:p>
    <w:p>
      <w:pPr>
        <w:pStyle w:val="Heading1"/>
        <w:numPr>
          <w:ilvl w:val="0"/>
          <w:numId w:val="1"/>
        </w:numPr>
        <w:spacing w:before="0" w:after="120"/>
        <w:ind w:hanging="0" w:left="0"/>
        <w:rPr/>
      </w:pPr>
      <w:bookmarkStart w:id="14" w:name="_Toc415840711"/>
      <w:bookmarkStart w:id="15" w:name="_Toc415840639"/>
      <w:r>
        <w:rPr/>
        <w:t xml:space="preserve">Направления совершенствования </w:t>
      </w:r>
      <w:bookmarkEnd w:id="14"/>
      <w:bookmarkEnd w:id="15"/>
      <w:r>
        <w:rPr/>
        <w:t>реализации антикоррупционной политики в Пермском крае в 2026 году</w:t>
      </w:r>
    </w:p>
    <w:p>
      <w:pPr>
        <w:pStyle w:val="Normal"/>
        <w:rPr/>
      </w:pPr>
      <w:r>
        <w:rPr/>
        <w:t>Приоритетными мероприятиями по совершенствованию реализации антикоррупционной политики в Пермском крае определены:</w:t>
      </w:r>
    </w:p>
    <w:p>
      <w:pPr>
        <w:pStyle w:val="ListParagraph"/>
        <w:tabs>
          <w:tab w:val="clear" w:pos="709"/>
          <w:tab w:val="left" w:pos="851" w:leader="none"/>
        </w:tabs>
        <w:ind w:firstLine="709" w:left="0"/>
        <w:rPr/>
      </w:pPr>
      <w:bookmarkStart w:id="16" w:name="_Toc468093790"/>
      <w:bookmarkEnd w:id="16"/>
      <w:r>
        <w:rPr/>
        <w:t>- повышение качества аналитической работы (анализ расходов, анализ аффилированности), в том числе за счет более эффективного использования ГИС «Посейдон»;</w:t>
      </w:r>
    </w:p>
    <w:p>
      <w:pPr>
        <w:pStyle w:val="ListParagraph"/>
        <w:tabs>
          <w:tab w:val="clear" w:pos="709"/>
          <w:tab w:val="left" w:pos="851" w:leader="none"/>
        </w:tabs>
        <w:ind w:firstLine="709" w:left="0"/>
        <w:rPr/>
      </w:pPr>
      <w:r>
        <w:rPr/>
        <w:t>- продолжение работы по мониторингу антикоррупционной работы в ОМСУ и муниципальных учреждениях;</w:t>
      </w:r>
    </w:p>
    <w:p>
      <w:pPr>
        <w:pStyle w:val="ListParagraph"/>
        <w:tabs>
          <w:tab w:val="clear" w:pos="709"/>
          <w:tab w:val="left" w:pos="851" w:leader="none"/>
        </w:tabs>
        <w:ind w:firstLine="709" w:left="0"/>
        <w:rPr/>
      </w:pPr>
      <w:r>
        <w:rPr/>
        <w:t>-</w:t>
        <w:tab/>
        <w:t xml:space="preserve"> проведение просветительских мероприятий по вопросам соблюдения требований об урегулировании конфликта интересов;</w:t>
      </w:r>
    </w:p>
    <w:p>
      <w:pPr>
        <w:pStyle w:val="ListParagraph"/>
        <w:tabs>
          <w:tab w:val="clear" w:pos="709"/>
          <w:tab w:val="left" w:pos="851" w:leader="none"/>
        </w:tabs>
        <w:ind w:firstLine="709" w:left="0"/>
        <w:rPr/>
      </w:pPr>
      <w:r>
        <w:rPr/>
        <w:t>- разработка методических материалов по вопросам применения антикоррупционного законодательства.</w:t>
      </w:r>
    </w:p>
    <w:p>
      <w:pPr>
        <w:pStyle w:val="Normal"/>
        <w:ind w:hanging="0"/>
        <w:rPr>
          <w:color w:val="FF0000"/>
        </w:rPr>
      </w:pPr>
      <w:r>
        <w:rPr>
          <w:color w:val="FF0000"/>
        </w:rPr>
      </w:r>
    </w:p>
    <w:sectPr>
      <w:headerReference w:type="even" r:id="rId20"/>
      <w:headerReference w:type="default" r:id="rId21"/>
      <w:headerReference w:type="first" r:id="rId22"/>
      <w:footerReference w:type="even" r:id="rId23"/>
      <w:footerReference w:type="default" r:id="rId24"/>
      <w:footerReference w:type="first" r:id="rId25"/>
      <w:type w:val="nextPage"/>
      <w:pgSz w:w="11906" w:h="16838"/>
      <w:pgMar w:left="1701" w:right="850" w:gutter="0" w:header="510" w:top="1134" w:footer="567" w:bottom="709"/>
      <w:pgNumType w:start="1"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imes New Roman">
    <w:charset w:val="01"/>
    <w:family w:val="roman"/>
    <w:pitch w:val="default"/>
  </w:font>
  <w:font w:name="Cambria">
    <w:charset w:val="01"/>
    <w:family w:val="roman"/>
    <w:pitch w:val="default"/>
  </w:font>
  <w:font w:name="OpenSymbol">
    <w:altName w:val="Arial Unicode MS"/>
    <w:charset w:val="01"/>
    <w:family w:val="auto"/>
    <w:pitch w:val="default"/>
  </w:font>
  <w:font w:name="Arial">
    <w:charset w:val="01"/>
    <w:family w:val="swiss"/>
    <w:pitch w:val="default"/>
  </w:font>
  <w:font w:name="Tahoma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firstLine="709"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6" name="Врезка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3" path="m0,0l-2147483645,0l-2147483645,-2147483646l0,-2147483646xe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lineRule="exact" w:line="40"/>
      <w:ind w:hanging="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lang w:val="en-US"/>
      </w:rPr>
    </w:pPr>
    <w:r>
      <w:rPr>
        <w:lang w:val="en-US"/>
      </w:rPr>
      <w:t xml:space="preserve"> 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5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17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isLgl/>
      <w:numFmt w:val="decimal"/>
      <w:suff w:val="space"/>
      <w:lvlText w:val="%1.%2."/>
      <w:lvlJc w:val="left"/>
      <w:pPr>
        <w:tabs>
          <w:tab w:val="num" w:pos="0"/>
        </w:tabs>
        <w:ind w:left="1429" w:hanging="720"/>
      </w:pPr>
      <w:rPr/>
    </w:lvl>
    <w:lvl w:ilvl="2">
      <w:start w:val="1"/>
      <w:isLgl/>
      <w:numFmt w:val="decimal"/>
      <w:lvlText w:val="%1.%2.%3."/>
      <w:lvlJc w:val="left"/>
      <w:pPr>
        <w:tabs>
          <w:tab w:val="num" w:pos="0"/>
        </w:tabs>
        <w:ind w:left="1778" w:hanging="720"/>
      </w:pPr>
      <w:rPr/>
    </w:lvl>
    <w:lvl w:ilvl="3">
      <w:start w:val="1"/>
      <w:isLgl/>
      <w:numFmt w:val="decimal"/>
      <w:lvlText w:val="%1.%2.%3.%4."/>
      <w:lvlJc w:val="left"/>
      <w:pPr>
        <w:tabs>
          <w:tab w:val="num" w:pos="0"/>
        </w:tabs>
        <w:ind w:left="2487" w:hanging="1080"/>
      </w:pPr>
      <w:rPr/>
    </w:lvl>
    <w:lvl w:ilvl="4">
      <w:start w:val="1"/>
      <w:isLgl/>
      <w:numFmt w:val="decimal"/>
      <w:lvlText w:val="%1.%2.%3.%4.%5."/>
      <w:lvlJc w:val="left"/>
      <w:pPr>
        <w:tabs>
          <w:tab w:val="num" w:pos="0"/>
        </w:tabs>
        <w:ind w:left="2836" w:hanging="1080"/>
      </w:pPr>
      <w:rPr/>
    </w:lvl>
    <w:lvl w:ilvl="5">
      <w:start w:val="1"/>
      <w:isLgl/>
      <w:numFmt w:val="decimal"/>
      <w:lvlText w:val="%1.%2.%3.%4.%5.%6."/>
      <w:lvlJc w:val="left"/>
      <w:pPr>
        <w:tabs>
          <w:tab w:val="num" w:pos="0"/>
        </w:tabs>
        <w:ind w:left="3545" w:hanging="1440"/>
      </w:pPr>
      <w:rPr/>
    </w:lvl>
    <w:lvl w:ilvl="6">
      <w:start w:val="1"/>
      <w:isLgl/>
      <w:numFmt w:val="decimal"/>
      <w:lvlText w:val="%1.%2.%3.%4.%5.%6.%7."/>
      <w:lvlJc w:val="left"/>
      <w:pPr>
        <w:tabs>
          <w:tab w:val="num" w:pos="0"/>
        </w:tabs>
        <w:ind w:left="4254" w:hanging="1800"/>
      </w:pPr>
      <w:rPr/>
    </w:lvl>
    <w:lvl w:ilvl="7">
      <w:start w:val="1"/>
      <w:isLgl/>
      <w:numFmt w:val="decimal"/>
      <w:lvlText w:val="%1.%2.%3.%4.%5.%6.%7.%8."/>
      <w:lvlJc w:val="left"/>
      <w:pPr>
        <w:tabs>
          <w:tab w:val="num" w:pos="0"/>
        </w:tabs>
        <w:ind w:left="4603" w:hanging="1800"/>
      </w:pPr>
      <w:rPr/>
    </w:lvl>
    <w:lvl w:ilvl="8">
      <w:start w:val="1"/>
      <w:isLgl/>
      <w:numFmt w:val="decimal"/>
      <w:lvlText w:val="%1.%2.%3.%4.%5.%6.%7.%8.%9."/>
      <w:lvlJc w:val="left"/>
      <w:pPr>
        <w:tabs>
          <w:tab w:val="num" w:pos="0"/>
        </w:tabs>
        <w:ind w:left="5312" w:hanging="2160"/>
      </w:pPr>
      <w:rPr/>
    </w:lvl>
  </w:abstractNum>
  <w:abstractNum w:abstractNumId="2">
    <w:lvl w:ilvl="0">
      <w:start w:val="1"/>
      <w:numFmt w:val="decimal"/>
      <w:suff w:val="space"/>
      <w:lvlText w:val="2.%1."/>
      <w:lvlJc w:val="left"/>
      <w:pPr>
        <w:tabs>
          <w:tab w:val="num" w:pos="0"/>
        </w:tabs>
        <w:ind w:left="674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eastAsia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abstractNum w:abstractNumId="4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isLgl/>
      <w:numFmt w:val="decimal"/>
      <w:suff w:val="space"/>
      <w:lvlText w:val="%1.%2."/>
      <w:lvlJc w:val="left"/>
      <w:pPr>
        <w:tabs>
          <w:tab w:val="num" w:pos="0"/>
        </w:tabs>
        <w:ind w:left="1429" w:hanging="720"/>
      </w:pPr>
      <w:rPr/>
    </w:lvl>
    <w:lvl w:ilvl="2">
      <w:start w:val="1"/>
      <w:isLgl/>
      <w:numFmt w:val="decimal"/>
      <w:lvlText w:val="%1.%2.%3."/>
      <w:lvlJc w:val="left"/>
      <w:pPr>
        <w:tabs>
          <w:tab w:val="num" w:pos="0"/>
        </w:tabs>
        <w:ind w:left="1778" w:hanging="720"/>
      </w:pPr>
      <w:rPr/>
    </w:lvl>
    <w:lvl w:ilvl="3">
      <w:start w:val="1"/>
      <w:isLgl/>
      <w:numFmt w:val="decimal"/>
      <w:lvlText w:val="%1.%2.%3.%4."/>
      <w:lvlJc w:val="left"/>
      <w:pPr>
        <w:tabs>
          <w:tab w:val="num" w:pos="0"/>
        </w:tabs>
        <w:ind w:left="2487" w:hanging="1080"/>
      </w:pPr>
      <w:rPr/>
    </w:lvl>
    <w:lvl w:ilvl="4">
      <w:start w:val="1"/>
      <w:isLgl/>
      <w:numFmt w:val="decimal"/>
      <w:lvlText w:val="%1.%2.%3.%4.%5."/>
      <w:lvlJc w:val="left"/>
      <w:pPr>
        <w:tabs>
          <w:tab w:val="num" w:pos="0"/>
        </w:tabs>
        <w:ind w:left="2836" w:hanging="1080"/>
      </w:pPr>
      <w:rPr/>
    </w:lvl>
    <w:lvl w:ilvl="5">
      <w:start w:val="1"/>
      <w:isLgl/>
      <w:numFmt w:val="decimal"/>
      <w:lvlText w:val="%1.%2.%3.%4.%5.%6."/>
      <w:lvlJc w:val="left"/>
      <w:pPr>
        <w:tabs>
          <w:tab w:val="num" w:pos="0"/>
        </w:tabs>
        <w:ind w:left="3545" w:hanging="1440"/>
      </w:pPr>
      <w:rPr/>
    </w:lvl>
    <w:lvl w:ilvl="6">
      <w:start w:val="1"/>
      <w:isLgl/>
      <w:numFmt w:val="decimal"/>
      <w:lvlText w:val="%1.%2.%3.%4.%5.%6.%7."/>
      <w:lvlJc w:val="left"/>
      <w:pPr>
        <w:tabs>
          <w:tab w:val="num" w:pos="0"/>
        </w:tabs>
        <w:ind w:left="4254" w:hanging="1800"/>
      </w:pPr>
      <w:rPr/>
    </w:lvl>
    <w:lvl w:ilvl="7">
      <w:start w:val="1"/>
      <w:isLgl/>
      <w:numFmt w:val="decimal"/>
      <w:lvlText w:val="%1.%2.%3.%4.%5.%6.%7.%8."/>
      <w:lvlJc w:val="left"/>
      <w:pPr>
        <w:tabs>
          <w:tab w:val="num" w:pos="0"/>
        </w:tabs>
        <w:ind w:left="4603" w:hanging="1800"/>
      </w:pPr>
      <w:rPr/>
    </w:lvl>
    <w:lvl w:ilvl="8">
      <w:start w:val="1"/>
      <w:isLgl/>
      <w:numFmt w:val="decimal"/>
      <w:lvlText w:val="%1.%2.%3.%4.%5.%6.%7.%8.%9."/>
      <w:lvlJc w:val="left"/>
      <w:pPr>
        <w:tabs>
          <w:tab w:val="num" w:pos="0"/>
        </w:tabs>
        <w:ind w:left="5312" w:hanging="2160"/>
      </w:pPr>
      <w:rPr/>
    </w:lvl>
  </w:abstractNum>
  <w:abstractNum w:abstractNumId="5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isLgl/>
      <w:numFmt w:val="decimal"/>
      <w:suff w:val="space"/>
      <w:lvlText w:val="%1.%2."/>
      <w:lvlJc w:val="left"/>
      <w:pPr>
        <w:tabs>
          <w:tab w:val="num" w:pos="0"/>
        </w:tabs>
        <w:ind w:left="1429" w:hanging="720"/>
      </w:pPr>
      <w:rPr/>
    </w:lvl>
    <w:lvl w:ilvl="2">
      <w:start w:val="1"/>
      <w:isLgl/>
      <w:numFmt w:val="decimal"/>
      <w:lvlText w:val="%1.%2.%3."/>
      <w:lvlJc w:val="left"/>
      <w:pPr>
        <w:tabs>
          <w:tab w:val="num" w:pos="0"/>
        </w:tabs>
        <w:ind w:left="1778" w:hanging="720"/>
      </w:pPr>
      <w:rPr/>
    </w:lvl>
    <w:lvl w:ilvl="3">
      <w:start w:val="1"/>
      <w:isLgl/>
      <w:numFmt w:val="decimal"/>
      <w:lvlText w:val="%1.%2.%3.%4."/>
      <w:lvlJc w:val="left"/>
      <w:pPr>
        <w:tabs>
          <w:tab w:val="num" w:pos="0"/>
        </w:tabs>
        <w:ind w:left="2487" w:hanging="1080"/>
      </w:pPr>
      <w:rPr/>
    </w:lvl>
    <w:lvl w:ilvl="4">
      <w:start w:val="1"/>
      <w:isLgl/>
      <w:numFmt w:val="decimal"/>
      <w:lvlText w:val="%1.%2.%3.%4.%5."/>
      <w:lvlJc w:val="left"/>
      <w:pPr>
        <w:tabs>
          <w:tab w:val="num" w:pos="0"/>
        </w:tabs>
        <w:ind w:left="2836" w:hanging="1080"/>
      </w:pPr>
      <w:rPr/>
    </w:lvl>
    <w:lvl w:ilvl="5">
      <w:start w:val="1"/>
      <w:isLgl/>
      <w:numFmt w:val="decimal"/>
      <w:lvlText w:val="%1.%2.%3.%4.%5.%6."/>
      <w:lvlJc w:val="left"/>
      <w:pPr>
        <w:tabs>
          <w:tab w:val="num" w:pos="0"/>
        </w:tabs>
        <w:ind w:left="3545" w:hanging="1440"/>
      </w:pPr>
      <w:rPr/>
    </w:lvl>
    <w:lvl w:ilvl="6">
      <w:start w:val="1"/>
      <w:isLgl/>
      <w:numFmt w:val="decimal"/>
      <w:lvlText w:val="%1.%2.%3.%4.%5.%6.%7."/>
      <w:lvlJc w:val="left"/>
      <w:pPr>
        <w:tabs>
          <w:tab w:val="num" w:pos="0"/>
        </w:tabs>
        <w:ind w:left="4254" w:hanging="1800"/>
      </w:pPr>
      <w:rPr/>
    </w:lvl>
    <w:lvl w:ilvl="7">
      <w:start w:val="1"/>
      <w:isLgl/>
      <w:numFmt w:val="decimal"/>
      <w:lvlText w:val="%1.%2.%3.%4.%5.%6.%7.%8."/>
      <w:lvlJc w:val="left"/>
      <w:pPr>
        <w:tabs>
          <w:tab w:val="num" w:pos="0"/>
        </w:tabs>
        <w:ind w:left="4603" w:hanging="1800"/>
      </w:pPr>
      <w:rPr/>
    </w:lvl>
    <w:lvl w:ilvl="8">
      <w:start w:val="1"/>
      <w:isLgl/>
      <w:numFmt w:val="decimal"/>
      <w:lvlText w:val="%1.%2.%3.%4.%5.%6.%7.%8.%9."/>
      <w:lvlJc w:val="left"/>
      <w:pPr>
        <w:tabs>
          <w:tab w:val="num" w:pos="0"/>
        </w:tabs>
        <w:ind w:left="5312" w:hanging="2160"/>
      </w:pPr>
      <w:rPr/>
    </w:lvl>
  </w:abstractNum>
  <w:abstractNum w:abstractNumId="6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isLgl/>
      <w:numFmt w:val="decimal"/>
      <w:suff w:val="space"/>
      <w:lvlText w:val="%1.%2."/>
      <w:lvlJc w:val="left"/>
      <w:pPr>
        <w:tabs>
          <w:tab w:val="num" w:pos="0"/>
        </w:tabs>
        <w:ind w:left="1429" w:hanging="720"/>
      </w:pPr>
      <w:rPr/>
    </w:lvl>
    <w:lvl w:ilvl="2">
      <w:start w:val="1"/>
      <w:isLgl/>
      <w:numFmt w:val="decimal"/>
      <w:lvlText w:val="%1.%2.%3."/>
      <w:lvlJc w:val="left"/>
      <w:pPr>
        <w:tabs>
          <w:tab w:val="num" w:pos="0"/>
        </w:tabs>
        <w:ind w:left="1778" w:hanging="720"/>
      </w:pPr>
      <w:rPr/>
    </w:lvl>
    <w:lvl w:ilvl="3">
      <w:start w:val="1"/>
      <w:isLgl/>
      <w:numFmt w:val="decimal"/>
      <w:lvlText w:val="%1.%2.%3.%4."/>
      <w:lvlJc w:val="left"/>
      <w:pPr>
        <w:tabs>
          <w:tab w:val="num" w:pos="0"/>
        </w:tabs>
        <w:ind w:left="2487" w:hanging="1080"/>
      </w:pPr>
      <w:rPr/>
    </w:lvl>
    <w:lvl w:ilvl="4">
      <w:start w:val="1"/>
      <w:isLgl/>
      <w:numFmt w:val="decimal"/>
      <w:lvlText w:val="%1.%2.%3.%4.%5."/>
      <w:lvlJc w:val="left"/>
      <w:pPr>
        <w:tabs>
          <w:tab w:val="num" w:pos="0"/>
        </w:tabs>
        <w:ind w:left="2836" w:hanging="1080"/>
      </w:pPr>
      <w:rPr/>
    </w:lvl>
    <w:lvl w:ilvl="5">
      <w:start w:val="1"/>
      <w:isLgl/>
      <w:numFmt w:val="decimal"/>
      <w:lvlText w:val="%1.%2.%3.%4.%5.%6."/>
      <w:lvlJc w:val="left"/>
      <w:pPr>
        <w:tabs>
          <w:tab w:val="num" w:pos="0"/>
        </w:tabs>
        <w:ind w:left="3545" w:hanging="1440"/>
      </w:pPr>
      <w:rPr/>
    </w:lvl>
    <w:lvl w:ilvl="6">
      <w:start w:val="1"/>
      <w:isLgl/>
      <w:numFmt w:val="decimal"/>
      <w:lvlText w:val="%1.%2.%3.%4.%5.%6.%7."/>
      <w:lvlJc w:val="left"/>
      <w:pPr>
        <w:tabs>
          <w:tab w:val="num" w:pos="0"/>
        </w:tabs>
        <w:ind w:left="4254" w:hanging="1800"/>
      </w:pPr>
      <w:rPr/>
    </w:lvl>
    <w:lvl w:ilvl="7">
      <w:start w:val="1"/>
      <w:isLgl/>
      <w:numFmt w:val="decimal"/>
      <w:lvlText w:val="%1.%2.%3.%4.%5.%6.%7.%8."/>
      <w:lvlJc w:val="left"/>
      <w:pPr>
        <w:tabs>
          <w:tab w:val="num" w:pos="0"/>
        </w:tabs>
        <w:ind w:left="4603" w:hanging="1800"/>
      </w:pPr>
      <w:rPr/>
    </w:lvl>
    <w:lvl w:ilvl="8">
      <w:start w:val="1"/>
      <w:isLgl/>
      <w:numFmt w:val="decimal"/>
      <w:lvlText w:val="%1.%2.%3.%4.%5.%6.%7.%8.%9."/>
      <w:lvlJc w:val="left"/>
      <w:pPr>
        <w:tabs>
          <w:tab w:val="num" w:pos="0"/>
        </w:tabs>
        <w:ind w:left="5312" w:hanging="2160"/>
      </w:pPr>
      <w:rPr/>
    </w:lvl>
  </w:abstractNum>
  <w:abstractNum w:abstractNumId="7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isLgl/>
      <w:numFmt w:val="decimal"/>
      <w:suff w:val="space"/>
      <w:lvlText w:val="%1.%2."/>
      <w:lvlJc w:val="left"/>
      <w:pPr>
        <w:tabs>
          <w:tab w:val="num" w:pos="0"/>
        </w:tabs>
        <w:ind w:left="1429" w:hanging="720"/>
      </w:pPr>
      <w:rPr/>
    </w:lvl>
    <w:lvl w:ilvl="2">
      <w:start w:val="1"/>
      <w:isLgl/>
      <w:numFmt w:val="decimal"/>
      <w:lvlText w:val="%1.%2.%3."/>
      <w:lvlJc w:val="left"/>
      <w:pPr>
        <w:tabs>
          <w:tab w:val="num" w:pos="0"/>
        </w:tabs>
        <w:ind w:left="1778" w:hanging="720"/>
      </w:pPr>
      <w:rPr/>
    </w:lvl>
    <w:lvl w:ilvl="3">
      <w:start w:val="1"/>
      <w:isLgl/>
      <w:numFmt w:val="decimal"/>
      <w:lvlText w:val="%1.%2.%3.%4."/>
      <w:lvlJc w:val="left"/>
      <w:pPr>
        <w:tabs>
          <w:tab w:val="num" w:pos="0"/>
        </w:tabs>
        <w:ind w:left="2487" w:hanging="1080"/>
      </w:pPr>
      <w:rPr/>
    </w:lvl>
    <w:lvl w:ilvl="4">
      <w:start w:val="1"/>
      <w:isLgl/>
      <w:numFmt w:val="decimal"/>
      <w:lvlText w:val="%1.%2.%3.%4.%5."/>
      <w:lvlJc w:val="left"/>
      <w:pPr>
        <w:tabs>
          <w:tab w:val="num" w:pos="0"/>
        </w:tabs>
        <w:ind w:left="2836" w:hanging="1080"/>
      </w:pPr>
      <w:rPr/>
    </w:lvl>
    <w:lvl w:ilvl="5">
      <w:start w:val="1"/>
      <w:isLgl/>
      <w:numFmt w:val="decimal"/>
      <w:lvlText w:val="%1.%2.%3.%4.%5.%6."/>
      <w:lvlJc w:val="left"/>
      <w:pPr>
        <w:tabs>
          <w:tab w:val="num" w:pos="0"/>
        </w:tabs>
        <w:ind w:left="3545" w:hanging="1440"/>
      </w:pPr>
      <w:rPr/>
    </w:lvl>
    <w:lvl w:ilvl="6">
      <w:start w:val="1"/>
      <w:isLgl/>
      <w:numFmt w:val="decimal"/>
      <w:lvlText w:val="%1.%2.%3.%4.%5.%6.%7."/>
      <w:lvlJc w:val="left"/>
      <w:pPr>
        <w:tabs>
          <w:tab w:val="num" w:pos="0"/>
        </w:tabs>
        <w:ind w:left="4254" w:hanging="1800"/>
      </w:pPr>
      <w:rPr/>
    </w:lvl>
    <w:lvl w:ilvl="7">
      <w:start w:val="1"/>
      <w:isLgl/>
      <w:numFmt w:val="decimal"/>
      <w:lvlText w:val="%1.%2.%3.%4.%5.%6.%7.%8."/>
      <w:lvlJc w:val="left"/>
      <w:pPr>
        <w:tabs>
          <w:tab w:val="num" w:pos="0"/>
        </w:tabs>
        <w:ind w:left="4603" w:hanging="1800"/>
      </w:pPr>
      <w:rPr/>
    </w:lvl>
    <w:lvl w:ilvl="8">
      <w:start w:val="1"/>
      <w:isLgl/>
      <w:numFmt w:val="decimal"/>
      <w:lvlText w:val="%1.%2.%3.%4.%5.%6.%7.%8.%9."/>
      <w:lvlJc w:val="left"/>
      <w:pPr>
        <w:tabs>
          <w:tab w:val="num" w:pos="0"/>
        </w:tabs>
        <w:ind w:left="5312" w:hanging="216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oc 1" w:uiPriority="39"/>
    <w:lsdException w:name="toc 2" w:uiPriority="39"/>
    <w:lsdException w:name="toc 3" w:uiPriority="39" w:qFormat="1"/>
    <w:lsdException w:name="header" w:uiPriority="99"/>
    <w:lsdException w:name="footer" w:uiPriority="99"/>
    <w:lsdException w:name="caption" w:uiPriority="35" w:semiHidden="1" w:unhideWhenUsed="1" w:qFormat="1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d3132"/>
    <w:pPr>
      <w:widowControl/>
      <w:suppressAutoHyphens w:val="true"/>
      <w:bidi w:val="0"/>
      <w:spacing w:lineRule="exact" w:line="360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091061"/>
    <w:pPr>
      <w:keepNext w:val="true"/>
      <w:keepLines/>
      <w:numPr>
        <w:ilvl w:val="0"/>
        <w:numId w:val="1"/>
      </w:numPr>
      <w:spacing w:lineRule="exact" w:line="240" w:before="0" w:after="480"/>
      <w:jc w:val="center"/>
      <w:outlineLvl w:val="0"/>
    </w:pPr>
    <w:rPr>
      <w:b/>
      <w:bCs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0c13ca"/>
    <w:pPr>
      <w:keepNext w:val="true"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c1380d"/>
    <w:pPr>
      <w:keepNext w:val="true"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a37463"/>
    <w:pPr>
      <w:keepNext w:val="true"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ac2aac"/>
    <w:pPr>
      <w:keepNext w:val="true"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c1380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Heading7">
    <w:name w:val="heading 7"/>
    <w:basedOn w:val="Normal"/>
    <w:next w:val="Normal"/>
    <w:uiPriority w:val="9"/>
    <w:semiHidden/>
    <w:unhideWhenUsed/>
    <w:qFormat/>
    <w:rsid w:val="00c1380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uiPriority w:val="9"/>
    <w:semiHidden/>
    <w:unhideWhenUsed/>
    <w:qFormat/>
    <w:rsid w:val="00c1380d"/>
    <w:pPr>
      <w:keepNext w:val="true"/>
      <w:keepLines/>
      <w:spacing w:before="200" w:after="0"/>
      <w:outlineLvl w:val="7"/>
    </w:pPr>
    <w:rPr>
      <w:rFonts w:ascii="Cambria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uiPriority w:val="9"/>
    <w:semiHidden/>
    <w:unhideWhenUsed/>
    <w:qFormat/>
    <w:rsid w:val="00c1380d"/>
    <w:pPr>
      <w:keepNext w:val="true"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rsid w:val="000c13ca"/>
    <w:rPr/>
  </w:style>
  <w:style w:type="character" w:styleId="Style5">
    <w:name w:val="Символ сноски"/>
    <w:semiHidden/>
    <w:qFormat/>
    <w:rsid w:val="000c13ca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uiPriority w:val="99"/>
    <w:rsid w:val="000c13ca"/>
    <w:rPr>
      <w:color w:val="0000FF"/>
      <w:u w:val="single"/>
    </w:rPr>
  </w:style>
  <w:style w:type="character" w:styleId="Style6" w:customStyle="1">
    <w:name w:val="Нижний колонтитул Знак"/>
    <w:uiPriority w:val="99"/>
    <w:qFormat/>
    <w:rsid w:val="00ae3da8"/>
    <w:rPr/>
  </w:style>
  <w:style w:type="character" w:styleId="1" w:customStyle="1">
    <w:name w:val="Заголовок 1 Знак"/>
    <w:uiPriority w:val="9"/>
    <w:qFormat/>
    <w:rsid w:val="00091061"/>
    <w:rPr>
      <w:rFonts w:ascii="Times New Roman" w:hAnsi="Times New Roman" w:eastAsia="Times New Roman"/>
      <w:b/>
      <w:bCs/>
      <w:sz w:val="28"/>
      <w:szCs w:val="28"/>
    </w:rPr>
  </w:style>
  <w:style w:type="character" w:styleId="Style7" w:customStyle="1">
    <w:name w:val="Текст сноски Знак"/>
    <w:semiHidden/>
    <w:qFormat/>
    <w:rsid w:val="00a9027f"/>
    <w:rPr>
      <w:sz w:val="28"/>
    </w:rPr>
  </w:style>
  <w:style w:type="character" w:styleId="2" w:customStyle="1">
    <w:name w:val="Основной текст с отступом 2 Знак"/>
    <w:link w:val="BodyTextIndent2"/>
    <w:qFormat/>
    <w:rsid w:val="00a9027f"/>
    <w:rPr>
      <w:sz w:val="28"/>
      <w:szCs w:val="24"/>
    </w:rPr>
  </w:style>
  <w:style w:type="character" w:styleId="5" w:customStyle="1">
    <w:name w:val="Заголовок 5 Знак"/>
    <w:uiPriority w:val="9"/>
    <w:semiHidden/>
    <w:qFormat/>
    <w:rsid w:val="001f3c63"/>
    <w:rPr>
      <w:rFonts w:ascii="Cambria" w:hAnsi="Cambria" w:eastAsia="Times New Roman" w:cs="Times New Roman"/>
      <w:color w:val="243F60"/>
      <w:sz w:val="28"/>
    </w:rPr>
  </w:style>
  <w:style w:type="character" w:styleId="Style8" w:customStyle="1">
    <w:name w:val="Основной текст Знак"/>
    <w:qFormat/>
    <w:rsid w:val="00a7799f"/>
    <w:rPr>
      <w:sz w:val="28"/>
    </w:rPr>
  </w:style>
  <w:style w:type="character" w:styleId="4" w:customStyle="1">
    <w:name w:val="Заголовок 4 Знак"/>
    <w:uiPriority w:val="9"/>
    <w:semiHidden/>
    <w:qFormat/>
    <w:rsid w:val="00626e73"/>
    <w:rPr>
      <w:rFonts w:ascii="Cambria" w:hAnsi="Cambria" w:eastAsia="Times New Roman" w:cs="Times New Roman"/>
      <w:b/>
      <w:bCs/>
      <w:i/>
      <w:iCs/>
      <w:color w:val="4F81BD"/>
      <w:sz w:val="28"/>
    </w:rPr>
  </w:style>
  <w:style w:type="character" w:styleId="11" w:customStyle="1">
    <w:name w:val="Стиль1 Знак"/>
    <w:basedOn w:val="4"/>
    <w:link w:val="12"/>
    <w:qFormat/>
    <w:rsid w:val="00626e73"/>
    <w:rPr>
      <w:rFonts w:ascii="Cambria" w:hAnsi="Cambria" w:eastAsia="Times New Roman" w:cs="Times New Roman"/>
      <w:b/>
      <w:bCs/>
      <w:i/>
      <w:iCs/>
      <w:color w:val="4F81BD"/>
      <w:sz w:val="28"/>
    </w:rPr>
  </w:style>
  <w:style w:type="character" w:styleId="Style9" w:customStyle="1">
    <w:name w:val="Подзаголовок Знак"/>
    <w:uiPriority w:val="11"/>
    <w:qFormat/>
    <w:rsid w:val="00d60b48"/>
    <w:rPr>
      <w:rFonts w:ascii="Times New Roman" w:hAnsi="Times New Roman" w:eastAsia="Times New Roman"/>
      <w:b/>
      <w:sz w:val="28"/>
      <w:szCs w:val="24"/>
    </w:rPr>
  </w:style>
  <w:style w:type="character" w:styleId="Style10" w:customStyle="1">
    <w:name w:val="Верхний колонтитул Знак"/>
    <w:uiPriority w:val="99"/>
    <w:qFormat/>
    <w:rsid w:val="00f163cf"/>
    <w:rPr>
      <w:rFonts w:ascii="Times New Roman" w:hAnsi="Times New Roman" w:eastAsia="Times New Roman"/>
      <w:sz w:val="28"/>
      <w:szCs w:val="22"/>
    </w:rPr>
  </w:style>
  <w:style w:type="character" w:styleId="FollowedHyperlink">
    <w:name w:val="FollowedHyperlink"/>
    <w:rsid w:val="00c62ef3"/>
    <w:rPr>
      <w:color w:val="954F72"/>
      <w:u w:val="single"/>
    </w:rPr>
  </w:style>
  <w:style w:type="character" w:styleId="Style11" w:customStyle="1">
    <w:name w:val="Основной текст с отступом Знак"/>
    <w:qFormat/>
    <w:rsid w:val="00ff34fa"/>
    <w:rPr>
      <w:rFonts w:ascii="Times New Roman" w:hAnsi="Times New Roman" w:eastAsia="Times New Roman"/>
      <w:sz w:val="28"/>
      <w:szCs w:val="22"/>
    </w:rPr>
  </w:style>
  <w:style w:type="character" w:styleId="Style12" w:customStyle="1">
    <w:name w:val="обычный Знак"/>
    <w:link w:val="Style22"/>
    <w:qFormat/>
    <w:rsid w:val="00ff34fa"/>
    <w:rPr>
      <w:rFonts w:ascii="Times New Roman" w:hAnsi="Times New Roman" w:eastAsia="Times New Roman"/>
      <w:sz w:val="28"/>
      <w:szCs w:val="24"/>
    </w:rPr>
  </w:style>
  <w:style w:type="character" w:styleId="CommentReference">
    <w:name w:val="annotation reference"/>
    <w:basedOn w:val="DefaultParagraphFont"/>
    <w:qFormat/>
    <w:rsid w:val="0032256a"/>
    <w:rPr>
      <w:sz w:val="16"/>
      <w:szCs w:val="16"/>
    </w:rPr>
  </w:style>
  <w:style w:type="character" w:styleId="Style13" w:customStyle="1">
    <w:name w:val="Текст примечания Знак"/>
    <w:basedOn w:val="DefaultParagraphFont"/>
    <w:qFormat/>
    <w:rsid w:val="0032256a"/>
    <w:rPr>
      <w:rFonts w:ascii="Times New Roman" w:hAnsi="Times New Roman" w:eastAsia="Times New Roman"/>
    </w:rPr>
  </w:style>
  <w:style w:type="character" w:styleId="Style14" w:customStyle="1">
    <w:name w:val="Тема примечания Знак"/>
    <w:basedOn w:val="Style13"/>
    <w:link w:val="annotationsubject"/>
    <w:qFormat/>
    <w:rsid w:val="00b9555a"/>
    <w:rPr>
      <w:rFonts w:ascii="Times New Roman" w:hAnsi="Times New Roman" w:eastAsia="Times New Roman"/>
      <w:b/>
      <w:bCs/>
    </w:rPr>
  </w:style>
  <w:style w:type="character" w:styleId="Style15">
    <w:name w:val="Ссылка указателя"/>
    <w:qFormat/>
    <w:rPr/>
  </w:style>
  <w:style w:type="character" w:styleId="Style16">
    <w:name w:val="Маркеры"/>
    <w:qFormat/>
    <w:rPr>
      <w:rFonts w:ascii="OpenSymbol" w:hAnsi="OpenSymbol" w:eastAsia="OpenSymbol" w:cs="OpenSymbol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ahoma" w:cs="Droid Sans"/>
      <w:sz w:val="28"/>
      <w:szCs w:val="28"/>
    </w:rPr>
  </w:style>
  <w:style w:type="paragraph" w:styleId="BodyText">
    <w:name w:val="Body Text"/>
    <w:basedOn w:val="Normal"/>
    <w:link w:val="Style8"/>
    <w:rsid w:val="000c13ca"/>
    <w:pPr>
      <w:ind w:firstLine="720"/>
    </w:pPr>
    <w:rPr/>
  </w:style>
  <w:style w:type="paragraph" w:styleId="List">
    <w:name w:val="List"/>
    <w:basedOn w:val="BodyText"/>
    <w:pPr/>
    <w:rPr>
      <w:rFonts w:ascii="Times New Roman" w:hAnsi="Times New Roman" w:cs="Droid Sans"/>
    </w:rPr>
  </w:style>
  <w:style w:type="paragraph" w:styleId="Caption">
    <w:name w:val="caption"/>
    <w:basedOn w:val="Normal"/>
    <w:next w:val="Normal"/>
    <w:uiPriority w:val="35"/>
    <w:unhideWhenUsed/>
    <w:qFormat/>
    <w:rsid w:val="00085d03"/>
    <w:pPr>
      <w:spacing w:lineRule="auto" w:line="240" w:before="0" w:after="200"/>
    </w:pPr>
    <w:rPr>
      <w:b/>
      <w:bCs/>
      <w:color w:val="4F81BD"/>
      <w:sz w:val="18"/>
      <w:szCs w:val="18"/>
    </w:rPr>
  </w:style>
  <w:style w:type="paragraph" w:styleId="Style18">
    <w:name w:val="Указатель"/>
    <w:basedOn w:val="Normal"/>
    <w:qFormat/>
    <w:pPr>
      <w:suppressLineNumbers/>
    </w:pPr>
    <w:rPr>
      <w:rFonts w:ascii="Times New Roman" w:hAnsi="Times New Roman" w:cs="Droid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0c13ca"/>
    <w:pPr>
      <w:suppressAutoHyphens w:val="true"/>
      <w:jc w:val="center"/>
    </w:pPr>
    <w:rPr/>
  </w:style>
  <w:style w:type="paragraph" w:styleId="Style19" w:customStyle="1">
    <w:name w:val="Заголовок к тексту"/>
    <w:basedOn w:val="Normal"/>
    <w:next w:val="BodyText"/>
    <w:qFormat/>
    <w:rsid w:val="000c13ca"/>
    <w:pPr>
      <w:suppressAutoHyphens w:val="true"/>
      <w:spacing w:lineRule="exact" w:line="240" w:before="0" w:after="240"/>
    </w:pPr>
    <w:rPr>
      <w:b/>
    </w:rPr>
  </w:style>
  <w:style w:type="paragraph" w:styleId="Style20" w:customStyle="1">
    <w:name w:val="Исполнитель"/>
    <w:basedOn w:val="BodyText"/>
    <w:next w:val="BodyText"/>
    <w:qFormat/>
    <w:rsid w:val="000c13ca"/>
    <w:pPr>
      <w:suppressAutoHyphens w:val="true"/>
      <w:spacing w:lineRule="exact" w:line="240"/>
      <w:ind w:hanging="0"/>
      <w:jc w:val="left"/>
    </w:pPr>
    <w:rPr>
      <w:sz w:val="24"/>
    </w:rPr>
  </w:style>
  <w:style w:type="paragraph" w:styleId="Footer">
    <w:name w:val="footer"/>
    <w:basedOn w:val="Normal"/>
    <w:link w:val="Style6"/>
    <w:uiPriority w:val="99"/>
    <w:rsid w:val="000c13ca"/>
    <w:pPr>
      <w:suppressAutoHyphens w:val="true"/>
    </w:pPr>
    <w:rPr>
      <w:sz w:val="20"/>
    </w:rPr>
  </w:style>
  <w:style w:type="paragraph" w:styleId="FootnoteText">
    <w:name w:val="footnote text"/>
    <w:basedOn w:val="Normal"/>
    <w:link w:val="Style7"/>
    <w:semiHidden/>
    <w:rsid w:val="000c13ca"/>
    <w:pPr/>
    <w:rPr/>
  </w:style>
  <w:style w:type="paragraph" w:styleId="BodyTextIndent2">
    <w:name w:val="Body Text Indent 2"/>
    <w:basedOn w:val="Normal"/>
    <w:link w:val="2"/>
    <w:qFormat/>
    <w:rsid w:val="000c13ca"/>
    <w:pPr>
      <w:tabs>
        <w:tab w:val="clear" w:pos="709"/>
        <w:tab w:val="left" w:pos="9918" w:leader="none"/>
      </w:tabs>
      <w:spacing w:lineRule="atLeast" w:line="360" w:before="0" w:after="240"/>
      <w:ind w:firstLine="743" w:right="6"/>
    </w:pPr>
    <w:rPr>
      <w:szCs w:val="24"/>
    </w:rPr>
  </w:style>
  <w:style w:type="paragraph" w:styleId="Style21" w:customStyle="1">
    <w:name w:val="Подпись на общем бланке"/>
    <w:basedOn w:val="Normal"/>
    <w:next w:val="BodyText"/>
    <w:qFormat/>
    <w:rsid w:val="00366cc1"/>
    <w:pPr>
      <w:tabs>
        <w:tab w:val="clear" w:pos="709"/>
        <w:tab w:val="right" w:pos="9639" w:leader="none"/>
      </w:tabs>
      <w:suppressAutoHyphens w:val="true"/>
      <w:spacing w:lineRule="exact" w:line="240" w:before="480" w:after="0"/>
    </w:pPr>
    <w:rPr/>
  </w:style>
  <w:style w:type="paragraph" w:styleId="ConsPlusNormal" w:customStyle="1">
    <w:name w:val="ConsPlusNormal"/>
    <w:qFormat/>
    <w:rsid w:val="00086aa9"/>
    <w:pPr>
      <w:widowControl w:val="false"/>
      <w:suppressAutoHyphens w:val="true"/>
      <w:bidi w:val="0"/>
      <w:spacing w:lineRule="auto" w:line="276" w:before="0" w:after="200"/>
      <w:ind w:firstLine="720"/>
      <w:jc w:val="left"/>
    </w:pPr>
    <w:rPr>
      <w:rFonts w:ascii="Arial" w:hAnsi="Arial" w:eastAsia="Calibri" w:cs="Arial"/>
      <w:color w:val="auto"/>
      <w:kern w:val="0"/>
      <w:sz w:val="22"/>
      <w:szCs w:val="22"/>
      <w:lang w:val="ru-RU" w:eastAsia="ru-RU" w:bidi="ar-SA"/>
    </w:rPr>
  </w:style>
  <w:style w:type="paragraph" w:styleId="TableofFigures">
    <w:name w:val="table of figures"/>
    <w:basedOn w:val="Normal"/>
    <w:next w:val="Normal"/>
    <w:semiHidden/>
    <w:rsid w:val="007e289f"/>
    <w:pPr/>
    <w:rPr/>
  </w:style>
  <w:style w:type="paragraph" w:styleId="BodyText2">
    <w:name w:val="Body Text 2"/>
    <w:basedOn w:val="Normal"/>
    <w:qFormat/>
    <w:rsid w:val="00085d03"/>
    <w:pPr>
      <w:spacing w:lineRule="auto" w:line="480" w:before="0" w:after="120"/>
    </w:pPr>
    <w:rPr/>
  </w:style>
  <w:style w:type="paragraph" w:styleId="BalloonText">
    <w:name w:val="Balloon Text"/>
    <w:basedOn w:val="Normal"/>
    <w:semiHidden/>
    <w:qFormat/>
    <w:rsid w:val="00392579"/>
    <w:pPr/>
    <w:rPr>
      <w:rFonts w:ascii="Tahoma" w:hAnsi="Tahoma" w:cs="Tahoma"/>
      <w:sz w:val="16"/>
      <w:szCs w:val="16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711d7"/>
    <w:pPr>
      <w:outlineLvl w:val="9"/>
    </w:pPr>
    <w:rPr/>
  </w:style>
  <w:style w:type="paragraph" w:styleId="TOC1">
    <w:name w:val="toc 1"/>
    <w:basedOn w:val="Normal"/>
    <w:next w:val="Normal"/>
    <w:autoRedefine/>
    <w:uiPriority w:val="39"/>
    <w:rsid w:val="000a1d8b"/>
    <w:pPr>
      <w:tabs>
        <w:tab w:val="clear" w:pos="709"/>
        <w:tab w:val="left" w:pos="993" w:leader="none"/>
        <w:tab w:val="right" w:pos="9356" w:leader="dot"/>
      </w:tabs>
    </w:pPr>
    <w:rPr>
      <w:b/>
      <w:bCs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4a18c2"/>
    <w:pPr>
      <w:tabs>
        <w:tab w:val="clear" w:pos="709"/>
        <w:tab w:val="right" w:pos="9356" w:leader="dot"/>
      </w:tabs>
    </w:pPr>
    <w:rPr>
      <w:bCs/>
      <w:szCs w:val="28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387674"/>
    <w:pPr>
      <w:ind w:left="280"/>
    </w:pPr>
    <w:rPr/>
  </w:style>
  <w:style w:type="paragraph" w:styleId="TOC4">
    <w:name w:val="toc 4"/>
    <w:basedOn w:val="Normal"/>
    <w:next w:val="Normal"/>
    <w:autoRedefine/>
    <w:rsid w:val="00302464"/>
    <w:pPr>
      <w:ind w:left="560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rsid w:val="00302464"/>
    <w:pPr>
      <w:ind w:left="840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rsid w:val="00302464"/>
    <w:pPr>
      <w:ind w:left="1120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rsid w:val="00302464"/>
    <w:pPr>
      <w:ind w:left="1400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rsid w:val="00302464"/>
    <w:pPr>
      <w:ind w:left="1680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rsid w:val="00626e73"/>
    <w:pPr/>
    <w:rPr/>
  </w:style>
  <w:style w:type="paragraph" w:styleId="NormalWeb">
    <w:name w:val="Normal (Web)"/>
    <w:basedOn w:val="Normal"/>
    <w:qFormat/>
    <w:rsid w:val="00ab5aea"/>
    <w:pPr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7e17a8"/>
    <w:pPr>
      <w:spacing w:before="0" w:after="0"/>
      <w:ind w:left="720"/>
      <w:contextualSpacing/>
    </w:pPr>
    <w:rPr/>
  </w:style>
  <w:style w:type="paragraph" w:styleId="12" w:customStyle="1">
    <w:name w:val="Стиль1"/>
    <w:basedOn w:val="Heading4"/>
    <w:link w:val="11"/>
    <w:qFormat/>
    <w:rsid w:val="00626e73"/>
    <w:pPr/>
    <w:rPr/>
  </w:style>
  <w:style w:type="paragraph" w:styleId="Subtitle">
    <w:name w:val="Subtitle"/>
    <w:basedOn w:val="Normal"/>
    <w:next w:val="Normal"/>
    <w:link w:val="Style9"/>
    <w:uiPriority w:val="11"/>
    <w:qFormat/>
    <w:rsid w:val="00d60b48"/>
    <w:pPr>
      <w:numPr>
        <w:ilvl w:val="0"/>
        <w:numId w:val="2"/>
      </w:numPr>
      <w:spacing w:lineRule="exact" w:line="240" w:before="480" w:after="480"/>
      <w:outlineLvl w:val="1"/>
    </w:pPr>
    <w:rPr>
      <w:b/>
      <w:szCs w:val="24"/>
    </w:rPr>
  </w:style>
  <w:style w:type="paragraph" w:styleId="Default" w:customStyle="1">
    <w:name w:val="Default"/>
    <w:qFormat/>
    <w:rsid w:val="001a63f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ru-RU" w:bidi="ar-SA"/>
    </w:rPr>
  </w:style>
  <w:style w:type="paragraph" w:styleId="BodyTextIndent">
    <w:name w:val="Body Text Indent"/>
    <w:basedOn w:val="Normal"/>
    <w:link w:val="Style11"/>
    <w:rsid w:val="00ff34fa"/>
    <w:pPr>
      <w:spacing w:before="0" w:after="120"/>
      <w:ind w:left="283"/>
    </w:pPr>
    <w:rPr/>
  </w:style>
  <w:style w:type="paragraph" w:styleId="Style22" w:customStyle="1">
    <w:name w:val="обычный"/>
    <w:basedOn w:val="Normal"/>
    <w:link w:val="Style12"/>
    <w:qFormat/>
    <w:rsid w:val="00ff34fa"/>
    <w:pPr>
      <w:spacing w:lineRule="auto" w:line="240"/>
    </w:pPr>
    <w:rPr>
      <w:szCs w:val="24"/>
    </w:rPr>
  </w:style>
  <w:style w:type="paragraph" w:styleId="document" w:customStyle="1">
    <w:name w:val="document"/>
    <w:basedOn w:val="Normal"/>
    <w:qFormat/>
    <w:rsid w:val="005674b9"/>
    <w:pPr>
      <w:spacing w:lineRule="auto" w:line="240" w:before="225" w:after="225"/>
      <w:ind w:hanging="0"/>
      <w:jc w:val="left"/>
    </w:pPr>
    <w:rPr>
      <w:sz w:val="24"/>
      <w:szCs w:val="24"/>
    </w:rPr>
  </w:style>
  <w:style w:type="paragraph" w:styleId="CommentText">
    <w:name w:val="annotation text"/>
    <w:basedOn w:val="Normal"/>
    <w:link w:val="Style13"/>
    <w:rsid w:val="0032256a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4"/>
    <w:qFormat/>
    <w:rsid w:val="00b9555a"/>
    <w:pPr/>
    <w:rPr>
      <w:b/>
      <w:bCs/>
    </w:rPr>
  </w:style>
  <w:style w:type="paragraph" w:styleId="Style23">
    <w:name w:val="Содержимое врезки"/>
    <w:basedOn w:val="Normal"/>
    <w:qFormat/>
    <w:pPr/>
    <w:rPr/>
  </w:style>
  <w:style w:type="paragraph" w:styleId="Style24">
    <w:name w:val="Содержимое таблицы"/>
    <w:basedOn w:val="Normal"/>
    <w:qFormat/>
    <w:pPr>
      <w:widowControl w:val="false"/>
      <w:suppressLineNumbers/>
    </w:pPr>
    <w:rPr/>
  </w:style>
  <w:style w:type="paragraph" w:styleId="Style25">
    <w:name w:val="Заголовок таблицы"/>
    <w:basedOn w:val="Style24"/>
    <w:qFormat/>
    <w:pPr>
      <w:suppressLineNumbers/>
      <w:jc w:val="center"/>
    </w:pPr>
    <w:rPr>
      <w:b/>
      <w:bCs/>
    </w:rPr>
  </w:style>
  <w:style w:type="numbering" w:styleId="Style26" w:default="1">
    <w:name w:val="Без списка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2">
    <w:name w:val="Table Grid"/>
    <w:basedOn w:val="a2"/>
    <w:rsid w:val="00366cc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Сетка таблицы1"/>
    <w:basedOn w:val="a2"/>
    <w:rsid w:val="00ae3da8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-51">
    <w:name w:val="Grid Table 5 Dark Accent 1"/>
    <w:basedOn w:val="a2"/>
    <w:uiPriority w:val="50"/>
    <w:rsid w:val="00432d20"/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1" w:themeFillTint="33"/>
    </w:tcPr>
    <w:tblStylePr w:type="firstRow">
      <w:rPr>
        <w:b/>
        <w:bCs/>
        <w:color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-25">
    <w:name w:val="Grid Table 2 Accent 5"/>
    <w:basedOn w:val="a2"/>
    <w:uiPriority w:val="47"/>
    <w:rsid w:val="00432d20"/>
    <w:tblPr>
      <w:tblStyleRowBandSize w:val="1"/>
      <w:tblStyleColBandSize w:val="1"/>
      <w:tblBorders>
        <w:top w:val="single" w:color="8EAADB" w:themeColor="accent5" w:themeTint="99" w:sz="2" w:space="0"/>
        <w:bottom w:val="single" w:color="8EAADB" w:themeColor="accent5" w:themeTint="99" w:sz="2" w:space="0"/>
        <w:insideH w:val="single" w:color="8EAADB" w:themeColor="accent5" w:themeTint="99" w:sz="2" w:space="0"/>
        <w:insideV w:val="single" w:color="8EAADB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8EAADB" w:themeColor="accent5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8EAADB" w:themeColor="accent5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11">
    <w:name w:val="Grid Table 1 Light Accent 1"/>
    <w:basedOn w:val="a2"/>
    <w:uiPriority w:val="46"/>
    <w:rsid w:val="00d87d7a"/>
    <w:rPr>
      <w:rFonts w:asciiTheme="minorHAnsi" w:hAnsiTheme="minorHAnsi" w:eastAsiaTheme="minorHAnsi" w:cstheme="minorBidi"/>
      <w:lang w:eastAsia="en-US"/>
      <w:sz w:val="22"/>
      <w:szCs w:val="22"/>
    </w:rPr>
    <w:tblPr>
      <w:tblStyleRowBandSize w:val="1"/>
      <w:tblStyleColBandSize w:val="1"/>
      <w:tblBorders>
        <w:top w:val="single" w:color="BDD6EE" w:themeColor="accent1" w:themeTint="66" w:sz="4" w:space="0"/>
        <w:left w:val="single" w:color="BDD6EE" w:themeColor="accent1" w:themeTint="66" w:sz="4" w:space="0"/>
        <w:bottom w:val="single" w:color="BDD6EE" w:themeColor="accent1" w:themeTint="66" w:sz="4" w:space="0"/>
        <w:right w:val="single" w:color="BDD6EE" w:themeColor="accent1" w:themeTint="66" w:sz="4" w:space="0"/>
        <w:insideH w:val="single" w:color="BDD6EE" w:themeColor="accent1" w:themeTint="66" w:sz="4" w:space="0"/>
        <w:insideV w:val="single" w:color="BDD6EE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1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1" w:sz="2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permkrai.ru/information-income/metodicheskie-materialy/obzor-izmenenii-zakonodatelstva-v-sfere-protivodeistviya-korrupcii/" TargetMode="External"/><Relationship Id="rId4" Type="http://schemas.openxmlformats.org/officeDocument/2006/relationships/hyperlink" Target="https://permkrai.ru/information-income/komissiya-po-koordinatsii-raboty-po-protivodeystviyu-korruptsii-v-permskom-krae/informatsiya-o-zasedaniyakh-komissii-prinyatykh-resheniyakh/" TargetMode="External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2.png"/><Relationship Id="rId9" Type="http://schemas.openxmlformats.org/officeDocument/2006/relationships/chart" Target="charts/chart1.xml"/><Relationship Id="rId10" Type="http://schemas.openxmlformats.org/officeDocument/2006/relationships/chart" Target="charts/chart2.xml"/><Relationship Id="rId11" Type="http://schemas.openxmlformats.org/officeDocument/2006/relationships/chart" Target="charts/chart3.xml"/><Relationship Id="rId12" Type="http://schemas.openxmlformats.org/officeDocument/2006/relationships/image" Target="media/image5.jpeg"/><Relationship Id="rId13" Type="http://schemas.openxmlformats.org/officeDocument/2006/relationships/image" Target="media/image6.jpeg"/><Relationship Id="rId14" Type="http://schemas.openxmlformats.org/officeDocument/2006/relationships/image" Target="media/image7.jpeg"/><Relationship Id="rId15" Type="http://schemas.openxmlformats.org/officeDocument/2006/relationships/image" Target="media/image8.jpeg"/><Relationship Id="rId16" Type="http://schemas.openxmlformats.org/officeDocument/2006/relationships/image" Target="media/image9.jpeg"/><Relationship Id="rId17" Type="http://schemas.openxmlformats.org/officeDocument/2006/relationships/image" Target="media/image10.jpeg"/><Relationship Id="rId18" Type="http://schemas.openxmlformats.org/officeDocument/2006/relationships/hyperlink" Target="https://vk.com/album-119466784_307887614" TargetMode="External"/><Relationship Id="rId19" Type="http://schemas.openxmlformats.org/officeDocument/2006/relationships/hyperlink" Target="https://vkvideo.ru/@stopcor_permkrai" TargetMode="External"/><Relationship Id="rId20" Type="http://schemas.openxmlformats.org/officeDocument/2006/relationships/header" Target="header1.xml"/><Relationship Id="rId21" Type="http://schemas.openxmlformats.org/officeDocument/2006/relationships/header" Target="header2.xml"/><Relationship Id="rId22" Type="http://schemas.openxmlformats.org/officeDocument/2006/relationships/header" Target="header3.xml"/><Relationship Id="rId23" Type="http://schemas.openxmlformats.org/officeDocument/2006/relationships/footer" Target="footer1.xml"/><Relationship Id="rId24" Type="http://schemas.openxmlformats.org/officeDocument/2006/relationships/footer" Target="footer2.xml"/><Relationship Id="rId25" Type="http://schemas.openxmlformats.org/officeDocument/2006/relationships/footer" Target="footer3.xml"/><Relationship Id="rId26" Type="http://schemas.openxmlformats.org/officeDocument/2006/relationships/numbering" Target="numbering.xml"/><Relationship Id="rId27" Type="http://schemas.openxmlformats.org/officeDocument/2006/relationships/fontTable" Target="fontTable.xml"/><Relationship Id="rId28" Type="http://schemas.openxmlformats.org/officeDocument/2006/relationships/settings" Target="settings.xml"/><Relationship Id="rId29" Type="http://schemas.openxmlformats.org/officeDocument/2006/relationships/theme" Target="theme/theme1.xml"/><Relationship Id="rId30" Type="http://schemas.openxmlformats.org/officeDocument/2006/relationships/customXml" Target="../customXml/item1.xml"/>
</Relationships>
</file>

<file path=word/charts/_rels/chart1.xml.rels><?xml version="1.0" encoding="UTF-8"?>
<Relationships xmlns="http://schemas.openxmlformats.org/package/2006/relationships"><Relationship Id="rId1" Type="http://schemas.openxmlformats.org/officeDocument/2006/relationships/package" Target="../embeddings/_____Microsoft_Excel1.xlsx"/>
</Relationships>
</file>

<file path=word/charts/_rels/chart2.xml.rels><?xml version="1.0" encoding="UTF-8"?>
<Relationships xmlns="http://schemas.openxmlformats.org/package/2006/relationships"><Relationship Id="rId1" Type="http://schemas.openxmlformats.org/officeDocument/2006/relationships/package" Target="../embeddings/_____Microsoft_Excel2.xlsx"/>
</Relationships>
</file>

<file path=word/charts/_rels/chart3.xml.rels><?xml version="1.0" encoding="UTF-8"?>
<Relationships xmlns="http://schemas.openxmlformats.org/package/2006/relationships"><Relationship Id="rId1" Type="http://schemas.openxmlformats.org/officeDocument/2006/relationships/package" Target="../embeddings/_____Microsoft_Excel3.xlsx"/>
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roundedCorners val="0"/>
  <c:chart>
    <c:autoTitleDeleted val="1"/>
    <c:plotArea>
      <c:layout>
        <c:manualLayout>
          <c:layoutTarget val="inner"/>
          <c:xMode val="edge"/>
          <c:yMode val="edge"/>
          <c:x val="0.0981875"/>
          <c:y val="0.0517777777777778"/>
          <c:w val="0.8580625"/>
          <c:h val="0.70755555555555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label 0</c:f>
              <c:strCache>
                <c:ptCount val="1"/>
                <c:pt idx="0">
                  <c:v>За отчетный период 2022 г.</c:v>
                </c:pt>
              </c:strCache>
            </c:strRef>
          </c:tx>
          <c:spPr>
            <a:solidFill>
              <a:srgbClr val="5b9bd5">
                <a:alpha val="85000"/>
              </a:srgbClr>
            </a:solidFill>
            <a:ln w="9360">
              <a:solidFill>
                <a:srgbClr val="ffffff">
                  <a:alpha val="50000"/>
                </a:srgbClr>
              </a:solidFill>
              <a:round/>
            </a:ln>
          </c:spPr>
          <c:invertIfNegative val="0"/>
          <c:dLbls>
            <c:numFmt formatCode="#\ ##0" sourceLinked="0"/>
            <c:txPr>
              <a:bodyPr wrap="square"/>
              <a:lstStyle/>
              <a:p>
                <a:pPr>
                  <a:defRPr b="1" sz="900" strike="noStrike" u="none">
                    <a:solidFill>
                      <a:srgbClr val="ffffff"/>
                    </a:solidFill>
                    <a:uFillTx/>
                    <a:latin typeface="Calibri"/>
                  </a:defRPr>
                </a:pPr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eparator>; </c:separator>
            <c:showLeaderLines val="1"/>
            <c:leaderLines>
              <c:spPr>
                <a:ln>
                  <a:solidFill>
                    <a:srgbClr val="ffffff"/>
                  </a:solidFill>
                </a:ln>
              </c:spPr>
            </c:leaderLines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categories</c:f>
              <c:strCache>
                <c:ptCount val="2"/>
                <c:pt idx="0">
                  <c:v>Гражданские служащие и ЛЗГД</c:v>
                </c:pt>
                <c:pt idx="1">
                  <c:v>Муниципальные служащие и ЛЗМД</c:v>
                </c:pt>
              </c:strCache>
            </c:strRef>
          </c:cat>
          <c:val>
            <c:numRef>
              <c:f>0</c:f>
              <c:numCache>
                <c:formatCode>General</c:formatCode>
                <c:ptCount val="2"/>
                <c:pt idx="0">
                  <c:v>2428</c:v>
                </c:pt>
                <c:pt idx="1">
                  <c:v>5048</c:v>
                </c:pt>
              </c:numCache>
            </c:numRef>
          </c:val>
        </c:ser>
        <c:ser>
          <c:idx val="1"/>
          <c:order val="1"/>
          <c:tx>
            <c:strRef>
              <c:f>label 1</c:f>
              <c:strCache>
                <c:ptCount val="1"/>
                <c:pt idx="0">
                  <c:v>За отчетный период 2023 г.</c:v>
                </c:pt>
              </c:strCache>
            </c:strRef>
          </c:tx>
          <c:spPr>
            <a:solidFill>
              <a:srgbClr val="ed7d31">
                <a:alpha val="85000"/>
              </a:srgbClr>
            </a:solidFill>
            <a:ln w="9360">
              <a:solidFill>
                <a:srgbClr val="ffffff">
                  <a:alpha val="50000"/>
                </a:srgbClr>
              </a:solidFill>
              <a:round/>
            </a:ln>
          </c:spPr>
          <c:invertIfNegative val="0"/>
          <c:dLbls>
            <c:numFmt formatCode="#\ ##0" sourceLinked="0"/>
            <c:txPr>
              <a:bodyPr wrap="square"/>
              <a:lstStyle/>
              <a:p>
                <a:pPr>
                  <a:defRPr b="1" sz="900" strike="noStrike" u="none">
                    <a:solidFill>
                      <a:srgbClr val="ffffff"/>
                    </a:solidFill>
                    <a:uFillTx/>
                    <a:latin typeface="Calibri"/>
                  </a:defRPr>
                </a:pPr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eparator>; </c:separator>
            <c:showLeaderLines val="1"/>
            <c:leaderLines>
              <c:spPr>
                <a:ln>
                  <a:solidFill>
                    <a:srgbClr val="ffffff"/>
                  </a:solidFill>
                </a:ln>
              </c:spPr>
            </c:leaderLines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categories</c:f>
              <c:strCache>
                <c:ptCount val="2"/>
                <c:pt idx="0">
                  <c:v>Гражданские служащие и ЛЗГД</c:v>
                </c:pt>
                <c:pt idx="1">
                  <c:v>Муниципальные служащие и ЛЗМД</c:v>
                </c:pt>
              </c:strCache>
            </c:strRef>
          </c:cat>
          <c:val>
            <c:numRef>
              <c:f>1</c:f>
              <c:numCache>
                <c:formatCode>General</c:formatCode>
                <c:ptCount val="2"/>
                <c:pt idx="0">
                  <c:v>2448</c:v>
                </c:pt>
                <c:pt idx="1">
                  <c:v>5337</c:v>
                </c:pt>
              </c:numCache>
            </c:numRef>
          </c:val>
        </c:ser>
        <c:ser>
          <c:idx val="2"/>
          <c:order val="2"/>
          <c:tx>
            <c:strRef>
              <c:f>label 2</c:f>
              <c:strCache>
                <c:ptCount val="1"/>
                <c:pt idx="0">
                  <c:v>За отчетный период 2024 г.</c:v>
                </c:pt>
              </c:strCache>
            </c:strRef>
          </c:tx>
          <c:spPr>
            <a:solidFill>
              <a:srgbClr val="548235"/>
            </a:solidFill>
            <a:ln w="9360">
              <a:solidFill>
                <a:srgbClr val="92d050"/>
              </a:solidFill>
              <a:round/>
            </a:ln>
          </c:spPr>
          <c:invertIfNegative val="0"/>
          <c:dLbls>
            <c:numFmt formatCode="#\ ##0" sourceLinked="0"/>
            <c:txPr>
              <a:bodyPr wrap="square"/>
              <a:lstStyle/>
              <a:p>
                <a:pPr>
                  <a:defRPr b="1" sz="900" strike="noStrike" u="none">
                    <a:solidFill>
                      <a:srgbClr val="ffffff"/>
                    </a:solidFill>
                    <a:uFillTx/>
                    <a:latin typeface="Calibri"/>
                  </a:defRPr>
                </a:pPr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eparator>; </c:separator>
            <c:showLeaderLines val="1"/>
            <c:leaderLines>
              <c:spPr>
                <a:ln>
                  <a:solidFill>
                    <a:srgbClr val="92d050"/>
                  </a:solidFill>
                </a:ln>
              </c:spPr>
            </c:leaderLines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categories</c:f>
              <c:strCache>
                <c:ptCount val="2"/>
                <c:pt idx="0">
                  <c:v>Гражданские служащие и ЛЗГД</c:v>
                </c:pt>
                <c:pt idx="1">
                  <c:v>Муниципальные служащие и ЛЗМД</c:v>
                </c:pt>
              </c:strCache>
            </c:strRef>
          </c:cat>
          <c:val>
            <c:numRef>
              <c:f>2</c:f>
              <c:numCache>
                <c:formatCode>General</c:formatCode>
                <c:ptCount val="2"/>
                <c:pt idx="0">
                  <c:v>2289</c:v>
                </c:pt>
                <c:pt idx="1">
                  <c:v>5245</c:v>
                </c:pt>
              </c:numCache>
            </c:numRef>
          </c:val>
        </c:ser>
        <c:gapWidth val="65"/>
        <c:overlap val="0"/>
        <c:axId val="74668991"/>
        <c:axId val="18608504"/>
      </c:barChart>
      <c:catAx>
        <c:axId val="74668991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ln w="19080">
            <a:solidFill>
              <a:srgbClr val="404040"/>
            </a:solidFill>
            <a:round/>
          </a:ln>
        </c:spPr>
        <c:txPr>
          <a:bodyPr/>
          <a:lstStyle/>
          <a:p>
            <a:pPr>
              <a:defRPr b="0" sz="900" strike="noStrike" u="none">
                <a:solidFill>
                  <a:srgbClr val="404040"/>
                </a:solidFill>
                <a:uFillTx/>
                <a:latin typeface="Calibri"/>
              </a:defRPr>
            </a:pPr>
          </a:p>
        </c:txPr>
        <c:crossAx val="18608504"/>
        <c:crosses val="autoZero"/>
        <c:auto val="1"/>
        <c:lblAlgn val="ctr"/>
        <c:lblOffset val="100"/>
        <c:noMultiLvlLbl val="0"/>
      </c:catAx>
      <c:valAx>
        <c:axId val="18608504"/>
        <c:scaling>
          <c:orientation val="minMax"/>
        </c:scaling>
        <c:delete val="1"/>
        <c:axPos val="l"/>
        <c:majorGridlines>
          <c:spPr>
            <a:ln w="9360">
              <a:solidFill>
                <a:srgbClr val="bfbfbf">
                  <a:alpha val="36000"/>
                </a:srgbClr>
              </a:solidFill>
              <a:round/>
            </a:ln>
          </c:spPr>
        </c:majorGridlines>
        <c:numFmt formatCode="General" sourceLinked="1"/>
        <c:majorTickMark val="none"/>
        <c:minorTickMark val="none"/>
        <c:tickLblPos val="nextTo"/>
        <c:spPr>
          <a:ln w="6480">
            <a:solidFill>
              <a:srgbClr val="8b8b8b"/>
            </a:solidFill>
            <a:round/>
          </a:ln>
        </c:spPr>
        <c:txPr>
          <a:bodyPr/>
          <a:lstStyle/>
          <a:p>
            <a:pPr>
              <a:defRPr b="0" sz="1000" strike="noStrike" u="none">
                <a:solidFill>
                  <a:srgbClr val="000000"/>
                </a:solidFill>
                <a:uFillTx/>
                <a:latin typeface="Calibri"/>
              </a:defRPr>
            </a:pPr>
          </a:p>
        </c:txPr>
        <c:crossAx val="74668991"/>
        <c:crossBetween val="between"/>
      </c:valAx>
      <c:spPr>
        <a:noFill/>
        <a:ln w="0">
          <a:noFill/>
        </a:ln>
      </c:spPr>
    </c:plotArea>
    <c:legend>
      <c:legendPos val="b"/>
      <c:overlay val="0"/>
      <c:spPr>
        <a:solidFill>
          <a:srgbClr val="f2f2f2">
            <a:alpha val="39000"/>
          </a:srgbClr>
        </a:solidFill>
        <a:ln w="0">
          <a:noFill/>
        </a:ln>
      </c:spPr>
      <c:txPr>
        <a:bodyPr/>
        <a:lstStyle/>
        <a:p>
          <a:pPr>
            <a:defRPr b="0" sz="900" strike="noStrike" u="none">
              <a:solidFill>
                <a:srgbClr val="404040"/>
              </a:solidFill>
              <a:uFillTx/>
              <a:latin typeface="Calibri"/>
            </a:defRPr>
          </a:pPr>
        </a:p>
      </c:txPr>
    </c:legend>
    <c:plotVisOnly val="1"/>
    <c:dispBlanksAs val="gap"/>
  </c:chart>
  <c:spPr>
    <a:gradFill>
      <a:gsLst>
        <a:gs pos="0">
          <a:srgbClr val="ffffff"/>
        </a:gs>
        <a:gs pos="39000">
          <a:srgbClr val="ffffff"/>
        </a:gs>
        <a:gs pos="100000">
          <a:srgbClr val="bfbfbf"/>
        </a:gs>
      </a:gsLst>
      <a:path path="circle">
        <a:fillToRect l="50000" t="0" r="50000" b="100000"/>
      </a:path>
    </a:gradFill>
    <a:ln w="9360">
      <a:solidFill>
        <a:srgbClr val="bfbfbf"/>
      </a:solidFill>
      <a:round/>
    </a:ln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roundedCorners val="0"/>
  <c:chart>
    <c:autoTitleDeleted val="1"/>
    <c:plotArea>
      <c:layout>
        <c:manualLayout>
          <c:layoutTarget val="inner"/>
          <c:xMode val="edge"/>
          <c:yMode val="edge"/>
          <c:x val="0.18475"/>
          <c:y val="0.215777777777778"/>
          <c:w val="0.3063125"/>
          <c:h val="0.574444444444444"/>
        </c:manualLayout>
      </c:layout>
      <c:pieChart>
        <c:varyColors val="1"/>
        <c:ser>
          <c:idx val="0"/>
          <c:order val="0"/>
          <c:tx>
            <c:strRef>
              <c:f>label 0</c:f>
              <c:strCache>
                <c:ptCount val="1"/>
                <c:pt idx="0">
                  <c:v>Ряд1</c:v>
                </c:pt>
              </c:strCache>
            </c:strRef>
          </c:tx>
          <c:spPr>
            <a:solidFill>
              <a:srgbClr val="ed7d31"/>
            </a:solidFill>
            <a:ln w="0">
              <a:noFill/>
            </a:ln>
          </c:spPr>
          <c:explosion val="0"/>
          <c:dPt>
            <c:idx val="0"/>
            <c:spPr>
              <a:solidFill>
                <a:srgbClr val="5b9bd5"/>
              </a:solidFill>
              <a:ln w="0">
                <a:noFill/>
              </a:ln>
            </c:spPr>
          </c:dPt>
          <c:dPt>
            <c:idx val="1"/>
            <c:spPr>
              <a:solidFill>
                <a:srgbClr val="ed7d31"/>
              </a:solidFill>
              <a:ln w="0">
                <a:noFill/>
              </a:ln>
            </c:spPr>
          </c:dPt>
          <c:dPt>
            <c:idx val="2"/>
            <c:spPr>
              <a:gradFill>
                <a:gsLst>
                  <a:gs pos="0">
                    <a:srgbClr val="ffda9e"/>
                  </a:gs>
                  <a:gs pos="50000">
                    <a:srgbClr val="ffd590"/>
                  </a:gs>
                  <a:gs pos="100000">
                    <a:srgbClr val="ffd07c"/>
                  </a:gs>
                </a:gsLst>
                <a:lin ang="5400000"/>
              </a:gradFill>
              <a:ln w="6480">
                <a:solidFill>
                  <a:srgbClr val="ffc000"/>
                </a:solidFill>
                <a:round/>
              </a:ln>
            </c:spPr>
          </c:dPt>
          <c:dLbls>
            <c:numFmt formatCode="General" sourceLinked="1"/>
            <c:dLbl>
              <c:idx val="0"/>
              <c:numFmt formatCode="General" sourceLinked="1"/>
              <c:spPr>
                <a:solidFill>
                  <a:srgbClr val="595959"/>
                </a:solidFill>
              </c:spPr>
              <c:txPr>
                <a:bodyPr wrap="square"/>
                <a:lstStyle/>
                <a:p>
                  <a:pPr>
                    <a:defRPr b="1" sz="1000" strike="noStrike" u="none">
                      <a:solidFill>
                        <a:srgbClr val="ffffff"/>
                      </a:solidFill>
                      <a:uFillTx/>
                      <a:latin typeface="Calibri"/>
                    </a:defRPr>
                  </a:pPr>
                </a:p>
              </c:txPr>
              <c:dLblPos val="outEnd"/>
              <c:showLegendKey val="0"/>
              <c:showVal val="1"/>
              <c:showCatName val="1"/>
              <c:showSerName val="0"/>
              <c:showPercent val="1"/>
              <c:separator>; </c:separator>
            </c:dLbl>
            <c:dLbl>
              <c:idx val="1"/>
              <c:numFmt formatCode="General" sourceLinked="1"/>
              <c:spPr>
                <a:solidFill>
                  <a:srgbClr val="595959"/>
                </a:solidFill>
              </c:spPr>
              <c:txPr>
                <a:bodyPr wrap="square"/>
                <a:lstStyle/>
                <a:p>
                  <a:pPr>
                    <a:defRPr b="1" sz="1000" strike="noStrike" u="none">
                      <a:solidFill>
                        <a:srgbClr val="ffffff"/>
                      </a:solidFill>
                      <a:uFillTx/>
                      <a:latin typeface="Calibri"/>
                    </a:defRPr>
                  </a:pPr>
                </a:p>
              </c:txPr>
              <c:dLblPos val="outEnd"/>
              <c:showLegendKey val="0"/>
              <c:showVal val="1"/>
              <c:showCatName val="1"/>
              <c:showSerName val="0"/>
              <c:showPercent val="1"/>
              <c:separator>; </c:separator>
            </c:dLbl>
            <c:dLbl>
              <c:idx val="2"/>
              <c:numFmt formatCode="General" sourceLinked="1"/>
              <c:spPr>
                <a:solidFill>
                  <a:srgbClr val="595959"/>
                </a:solidFill>
              </c:spPr>
              <c:txPr>
                <a:bodyPr wrap="square"/>
                <a:lstStyle/>
                <a:p>
                  <a:pPr>
                    <a:defRPr b="1" sz="1000" strike="noStrike" u="none">
                      <a:solidFill>
                        <a:srgbClr val="ffffff"/>
                      </a:solidFill>
                      <a:uFillTx/>
                      <a:latin typeface="Calibri"/>
                    </a:defRPr>
                  </a:pPr>
                </a:p>
              </c:txPr>
              <c:dLblPos val="outEnd"/>
              <c:showLegendKey val="0"/>
              <c:showVal val="1"/>
              <c:showCatName val="1"/>
              <c:showSerName val="0"/>
              <c:showPercent val="1"/>
              <c:separator>; </c:separator>
            </c:dLbl>
            <c:spPr>
              <a:solidFill>
                <a:srgbClr val="595959"/>
              </a:solidFill>
            </c:spPr>
            <c:txPr>
              <a:bodyPr wrap="square"/>
              <a:lstStyle/>
              <a:p>
                <a:pPr>
                  <a:defRPr b="1" sz="1000" strike="noStrike" u="none">
                    <a:solidFill>
                      <a:srgbClr val="ffffff"/>
                    </a:solidFill>
                    <a:uFillTx/>
                    <a:latin typeface="Calibri"/>
                  </a:defRPr>
                </a:pPr>
              </a:p>
            </c:txPr>
            <c:dLblPos val="outEnd"/>
            <c:showLegendKey val="0"/>
            <c:showVal val="1"/>
            <c:showCatName val="1"/>
            <c:showSerName val="0"/>
            <c:showPercent val="1"/>
            <c:separator>; </c:separator>
            <c:showLeaderLines val="1"/>
            <c:leaderLines>
              <c:spPr>
                <a:ln>
                  <a:solidFill>
                    <a:srgbClr val="808080"/>
                  </a:solidFill>
                </a:ln>
              </c:spPr>
            </c:leaderLines>
          </c:dLbls>
          <c:cat>
            <c:strRef>
              <c:f>categories</c:f>
              <c:strCache>
                <c:ptCount val="3"/>
                <c:pt idx="0">
                  <c:v>Сведения о доходах</c:v>
                </c:pt>
                <c:pt idx="1">
                  <c:v>Дача согласия на трудоустройство</c:v>
                </c:pt>
                <c:pt idx="2">
                  <c:v>Конфликт интересов, запреты и ограничения</c:v>
                </c:pt>
              </c:strCache>
            </c:strRef>
          </c:cat>
          <c:val>
            <c:numRef>
              <c:f>0</c:f>
              <c:numCache>
                <c:formatCode>General</c:formatCode>
                <c:ptCount val="3"/>
                <c:pt idx="0">
                  <c:v>12</c:v>
                </c:pt>
                <c:pt idx="1">
                  <c:v>40</c:v>
                </c:pt>
                <c:pt idx="2">
                  <c:v>103</c:v>
                </c:pt>
              </c:numCache>
            </c:numRef>
          </c:val>
        </c:ser>
        <c:ser>
          <c:idx val="1"/>
          <c:order val="1"/>
          <c:tx>
            <c:strRef>
              <c:f>label 1</c:f>
              <c:strCache>
                <c:ptCount val="1"/>
                <c:pt idx="0">
                  <c:v>Ряд2</c:v>
                </c:pt>
              </c:strCache>
            </c:strRef>
          </c:tx>
          <c:spPr>
            <a:solidFill>
              <a:srgbClr val="a5a5a5"/>
            </a:solidFill>
            <a:ln w="0">
              <a:noFill/>
            </a:ln>
          </c:spPr>
          <c:explosion val="25"/>
          <c:dPt>
            <c:idx val="0"/>
            <c:explosion val="25"/>
            <c:spPr>
              <a:solidFill>
                <a:srgbClr val="5b9bd5"/>
              </a:solidFill>
              <a:ln w="0">
                <a:noFill/>
              </a:ln>
            </c:spPr>
          </c:dPt>
          <c:dPt>
            <c:idx val="1"/>
            <c:explosion val="25"/>
            <c:spPr>
              <a:solidFill>
                <a:srgbClr val="ed7d31"/>
              </a:solidFill>
              <a:ln w="0">
                <a:noFill/>
              </a:ln>
            </c:spPr>
          </c:dPt>
          <c:dPt>
            <c:idx val="2"/>
            <c:explosion val="25"/>
            <c:spPr>
              <a:solidFill>
                <a:srgbClr val="a5a5a5"/>
              </a:solidFill>
              <a:ln w="0">
                <a:noFill/>
              </a:ln>
            </c:spPr>
          </c:dPt>
          <c:dLbls>
            <c:numFmt formatCode="General" sourceLinked="0"/>
            <c:dLbl>
              <c:idx val="0"/>
              <c:numFmt formatCode="General" sourceLinked="0"/>
              <c:spPr>
                <a:solidFill>
                  <a:srgbClr val="595959"/>
                </a:solidFill>
              </c:spPr>
              <c:txPr>
                <a:bodyPr wrap="square"/>
                <a:lstStyle/>
                <a:p>
                  <a:pPr>
                    <a:defRPr b="1" sz="1000" strike="noStrike" u="none">
                      <a:solidFill>
                        <a:srgbClr val="ffffff"/>
                      </a:solidFill>
                      <a:uFillTx/>
                      <a:latin typeface="Calibri"/>
                    </a:defRPr>
                  </a:pPr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eparator>; </c:separator>
            </c:dLbl>
            <c:dLbl>
              <c:idx val="1"/>
              <c:numFmt formatCode="General" sourceLinked="0"/>
              <c:spPr>
                <a:solidFill>
                  <a:srgbClr val="595959"/>
                </a:solidFill>
              </c:spPr>
              <c:txPr>
                <a:bodyPr wrap="square"/>
                <a:lstStyle/>
                <a:p>
                  <a:pPr>
                    <a:defRPr b="1" sz="1000" strike="noStrike" u="none">
                      <a:solidFill>
                        <a:srgbClr val="ffffff"/>
                      </a:solidFill>
                      <a:uFillTx/>
                      <a:latin typeface="Calibri"/>
                    </a:defRPr>
                  </a:pPr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eparator>; </c:separator>
            </c:dLbl>
            <c:dLbl>
              <c:idx val="2"/>
              <c:numFmt formatCode="General" sourceLinked="0"/>
              <c:spPr>
                <a:solidFill>
                  <a:srgbClr val="595959"/>
                </a:solidFill>
              </c:spPr>
              <c:txPr>
                <a:bodyPr wrap="square"/>
                <a:lstStyle/>
                <a:p>
                  <a:pPr>
                    <a:defRPr b="1" sz="1000" strike="noStrike" u="none">
                      <a:solidFill>
                        <a:srgbClr val="ffffff"/>
                      </a:solidFill>
                      <a:uFillTx/>
                      <a:latin typeface="Calibri"/>
                    </a:defRPr>
                  </a:pPr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eparator>; </c:separator>
            </c:dLbl>
            <c:spPr>
              <a:solidFill>
                <a:srgbClr val="595959"/>
              </a:solidFill>
            </c:spPr>
            <c:txPr>
              <a:bodyPr wrap="square"/>
              <a:lstStyle/>
              <a:p>
                <a:pPr>
                  <a:defRPr b="1" sz="1000" strike="noStrike" u="none">
                    <a:solidFill>
                      <a:srgbClr val="ffffff"/>
                    </a:solidFill>
                    <a:uFillTx/>
                    <a:latin typeface="Calibri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eparator>; </c:separator>
            <c:showLeaderLines val="1"/>
            <c:leaderLines>
              <c:spPr>
                <a:ln>
                  <a:solidFill>
                    <a:srgbClr val="808080"/>
                  </a:solidFill>
                </a:ln>
              </c:spPr>
            </c:leaderLines>
          </c:dLbls>
          <c:cat>
            <c:strRef>
              <c:f>categories</c:f>
              <c:strCache>
                <c:ptCount val="3"/>
                <c:pt idx="0">
                  <c:v>Сведения о доходах</c:v>
                </c:pt>
                <c:pt idx="1">
                  <c:v>Дача согласия на трудоустройство</c:v>
                </c:pt>
                <c:pt idx="2">
                  <c:v>Конфликт интересов, запреты и ограничения</c:v>
                </c:pt>
              </c:strCache>
            </c:strRef>
          </c:cat>
          <c:val>
            <c:numRef>
              <c:f>1</c:f>
              <c:numCache>
                <c:formatCode>General</c:formatCode>
                <c:ptCount val="3"/>
              </c:numCache>
            </c:numRef>
          </c:val>
        </c:ser>
        <c:ser>
          <c:idx val="2"/>
          <c:order val="2"/>
          <c:tx>
            <c:strRef>
              <c:f>label 2</c:f>
              <c:strCache>
                <c:ptCount val="1"/>
                <c:pt idx="0">
                  <c:v>Ряд3</c:v>
                </c:pt>
              </c:strCache>
            </c:strRef>
          </c:tx>
          <c:spPr>
            <a:solidFill>
              <a:srgbClr val="ffc000"/>
            </a:solidFill>
            <a:ln w="0">
              <a:noFill/>
            </a:ln>
          </c:spPr>
          <c:explosion val="25"/>
          <c:dPt>
            <c:idx val="0"/>
            <c:explosion val="25"/>
            <c:spPr>
              <a:solidFill>
                <a:srgbClr val="5b9bd5"/>
              </a:solidFill>
              <a:ln w="0">
                <a:noFill/>
              </a:ln>
            </c:spPr>
          </c:dPt>
          <c:dPt>
            <c:idx val="1"/>
            <c:explosion val="25"/>
            <c:spPr>
              <a:solidFill>
                <a:srgbClr val="ed7d31"/>
              </a:solidFill>
              <a:ln w="0">
                <a:noFill/>
              </a:ln>
            </c:spPr>
          </c:dPt>
          <c:dPt>
            <c:idx val="2"/>
            <c:explosion val="25"/>
            <c:spPr>
              <a:solidFill>
                <a:srgbClr val="a5a5a5"/>
              </a:solidFill>
              <a:ln w="0">
                <a:noFill/>
              </a:ln>
            </c:spPr>
          </c:dPt>
          <c:dLbls>
            <c:numFmt formatCode="General" sourceLinked="0"/>
            <c:dLbl>
              <c:idx val="0"/>
              <c:numFmt formatCode="General" sourceLinked="0"/>
              <c:spPr>
                <a:solidFill>
                  <a:srgbClr val="595959"/>
                </a:solidFill>
              </c:spPr>
              <c:txPr>
                <a:bodyPr wrap="square"/>
                <a:lstStyle/>
                <a:p>
                  <a:pPr>
                    <a:defRPr b="1" sz="1000" strike="noStrike" u="none">
                      <a:solidFill>
                        <a:srgbClr val="ffffff"/>
                      </a:solidFill>
                      <a:uFillTx/>
                      <a:latin typeface="Calibri"/>
                    </a:defRPr>
                  </a:pPr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eparator>; </c:separator>
            </c:dLbl>
            <c:dLbl>
              <c:idx val="1"/>
              <c:numFmt formatCode="General" sourceLinked="0"/>
              <c:spPr>
                <a:solidFill>
                  <a:srgbClr val="595959"/>
                </a:solidFill>
              </c:spPr>
              <c:txPr>
                <a:bodyPr wrap="square"/>
                <a:lstStyle/>
                <a:p>
                  <a:pPr>
                    <a:defRPr b="1" sz="1000" strike="noStrike" u="none">
                      <a:solidFill>
                        <a:srgbClr val="ffffff"/>
                      </a:solidFill>
                      <a:uFillTx/>
                      <a:latin typeface="Calibri"/>
                    </a:defRPr>
                  </a:pPr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eparator>; </c:separator>
            </c:dLbl>
            <c:dLbl>
              <c:idx val="2"/>
              <c:numFmt formatCode="General" sourceLinked="0"/>
              <c:spPr>
                <a:solidFill>
                  <a:srgbClr val="595959"/>
                </a:solidFill>
              </c:spPr>
              <c:txPr>
                <a:bodyPr wrap="square"/>
                <a:lstStyle/>
                <a:p>
                  <a:pPr>
                    <a:defRPr b="1" sz="1000" strike="noStrike" u="none">
                      <a:solidFill>
                        <a:srgbClr val="ffffff"/>
                      </a:solidFill>
                      <a:uFillTx/>
                      <a:latin typeface="Calibri"/>
                    </a:defRPr>
                  </a:pPr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eparator>; </c:separator>
            </c:dLbl>
            <c:spPr>
              <a:solidFill>
                <a:srgbClr val="595959"/>
              </a:solidFill>
            </c:spPr>
            <c:txPr>
              <a:bodyPr wrap="square"/>
              <a:lstStyle/>
              <a:p>
                <a:pPr>
                  <a:defRPr b="1" sz="1000" strike="noStrike" u="none">
                    <a:solidFill>
                      <a:srgbClr val="ffffff"/>
                    </a:solidFill>
                    <a:uFillTx/>
                    <a:latin typeface="Calibri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eparator>; </c:separator>
            <c:showLeaderLines val="1"/>
            <c:leaderLines>
              <c:spPr>
                <a:ln>
                  <a:solidFill>
                    <a:srgbClr val="808080"/>
                  </a:solidFill>
                </a:ln>
              </c:spPr>
            </c:leaderLines>
          </c:dLbls>
          <c:cat>
            <c:strRef>
              <c:f>categories</c:f>
              <c:strCache>
                <c:ptCount val="3"/>
                <c:pt idx="0">
                  <c:v>Сведения о доходах</c:v>
                </c:pt>
                <c:pt idx="1">
                  <c:v>Дача согласия на трудоустройство</c:v>
                </c:pt>
                <c:pt idx="2">
                  <c:v>Конфликт интересов, запреты и ограничения</c:v>
                </c:pt>
              </c:strCache>
            </c:strRef>
          </c:cat>
          <c:val>
            <c:numRef>
              <c:f>2</c:f>
              <c:numCache>
                <c:formatCode>General</c:formatCode>
                <c:ptCount val="3"/>
              </c:numCache>
            </c:numRef>
          </c:val>
        </c:ser>
        <c:ser>
          <c:idx val="3"/>
          <c:order val="3"/>
          <c:tx>
            <c:strRef>
              <c:f>label 3</c:f>
              <c:strCache>
                <c:ptCount val="1"/>
                <c:pt idx="0">
                  <c:v>Ряд4</c:v>
                </c:pt>
              </c:strCache>
            </c:strRef>
          </c:tx>
          <c:spPr>
            <a:solidFill>
              <a:srgbClr val="4472c4"/>
            </a:solidFill>
            <a:ln w="0">
              <a:noFill/>
            </a:ln>
          </c:spPr>
          <c:explosion val="25"/>
          <c:dPt>
            <c:idx val="0"/>
            <c:explosion val="25"/>
            <c:spPr>
              <a:solidFill>
                <a:srgbClr val="5b9bd5"/>
              </a:solidFill>
              <a:ln w="0">
                <a:noFill/>
              </a:ln>
            </c:spPr>
          </c:dPt>
          <c:dPt>
            <c:idx val="1"/>
            <c:explosion val="25"/>
            <c:spPr>
              <a:solidFill>
                <a:srgbClr val="ed7d31"/>
              </a:solidFill>
              <a:ln w="0">
                <a:noFill/>
              </a:ln>
            </c:spPr>
          </c:dPt>
          <c:dPt>
            <c:idx val="2"/>
            <c:explosion val="25"/>
            <c:spPr>
              <a:solidFill>
                <a:srgbClr val="a5a5a5"/>
              </a:solidFill>
              <a:ln w="0">
                <a:noFill/>
              </a:ln>
            </c:spPr>
          </c:dPt>
          <c:dLbls>
            <c:numFmt formatCode="General" sourceLinked="0"/>
            <c:dLbl>
              <c:idx val="0"/>
              <c:numFmt formatCode="General" sourceLinked="0"/>
              <c:spPr>
                <a:solidFill>
                  <a:srgbClr val="595959"/>
                </a:solidFill>
              </c:spPr>
              <c:txPr>
                <a:bodyPr wrap="square"/>
                <a:lstStyle/>
                <a:p>
                  <a:pPr>
                    <a:defRPr b="1" sz="1000" strike="noStrike" u="none">
                      <a:solidFill>
                        <a:srgbClr val="ffffff"/>
                      </a:solidFill>
                      <a:uFillTx/>
                      <a:latin typeface="Calibri"/>
                    </a:defRPr>
                  </a:pPr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eparator>; </c:separator>
            </c:dLbl>
            <c:dLbl>
              <c:idx val="1"/>
              <c:numFmt formatCode="General" sourceLinked="0"/>
              <c:spPr>
                <a:solidFill>
                  <a:srgbClr val="595959"/>
                </a:solidFill>
              </c:spPr>
              <c:txPr>
                <a:bodyPr wrap="square"/>
                <a:lstStyle/>
                <a:p>
                  <a:pPr>
                    <a:defRPr b="1" sz="1000" strike="noStrike" u="none">
                      <a:solidFill>
                        <a:srgbClr val="ffffff"/>
                      </a:solidFill>
                      <a:uFillTx/>
                      <a:latin typeface="Calibri"/>
                    </a:defRPr>
                  </a:pPr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eparator>; </c:separator>
            </c:dLbl>
            <c:dLbl>
              <c:idx val="2"/>
              <c:numFmt formatCode="General" sourceLinked="0"/>
              <c:spPr>
                <a:solidFill>
                  <a:srgbClr val="595959"/>
                </a:solidFill>
              </c:spPr>
              <c:txPr>
                <a:bodyPr wrap="square"/>
                <a:lstStyle/>
                <a:p>
                  <a:pPr>
                    <a:defRPr b="1" sz="1000" strike="noStrike" u="none">
                      <a:solidFill>
                        <a:srgbClr val="ffffff"/>
                      </a:solidFill>
                      <a:uFillTx/>
                      <a:latin typeface="Calibri"/>
                    </a:defRPr>
                  </a:pPr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eparator>; </c:separator>
            </c:dLbl>
            <c:spPr>
              <a:solidFill>
                <a:srgbClr val="595959"/>
              </a:solidFill>
            </c:spPr>
            <c:txPr>
              <a:bodyPr wrap="square"/>
              <a:lstStyle/>
              <a:p>
                <a:pPr>
                  <a:defRPr b="1" sz="1000" strike="noStrike" u="none">
                    <a:solidFill>
                      <a:srgbClr val="ffffff"/>
                    </a:solidFill>
                    <a:uFillTx/>
                    <a:latin typeface="Calibri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eparator>; </c:separator>
            <c:showLeaderLines val="1"/>
            <c:leaderLines>
              <c:spPr>
                <a:ln>
                  <a:solidFill>
                    <a:srgbClr val="808080"/>
                  </a:solidFill>
                </a:ln>
              </c:spPr>
            </c:leaderLines>
          </c:dLbls>
          <c:cat>
            <c:strRef>
              <c:f>categories</c:f>
              <c:strCache>
                <c:ptCount val="3"/>
                <c:pt idx="0">
                  <c:v>Сведения о доходах</c:v>
                </c:pt>
                <c:pt idx="1">
                  <c:v>Дача согласия на трудоустройство</c:v>
                </c:pt>
                <c:pt idx="2">
                  <c:v>Конфликт интересов, запреты и ограничения</c:v>
                </c:pt>
              </c:strCache>
            </c:strRef>
          </c:cat>
          <c:val>
            <c:numRef>
              <c:f>3</c:f>
              <c:numCache>
                <c:formatCode>General</c:formatCode>
                <c:ptCount val="3"/>
              </c:numCache>
            </c:numRef>
          </c:val>
        </c:ser>
        <c:firstSliceAng val="113"/>
      </c:pieChart>
      <c:spPr>
        <a:noFill/>
        <a:ln w="0">
          <a:noFill/>
        </a:ln>
      </c:spPr>
    </c:plotArea>
    <c:legend>
      <c:legendPos val="r"/>
      <c:overlay val="0"/>
      <c:spPr>
        <a:solidFill>
          <a:srgbClr val="f2f2f2">
            <a:alpha val="39000"/>
          </a:srgbClr>
        </a:solidFill>
        <a:ln w="0">
          <a:noFill/>
        </a:ln>
      </c:spPr>
      <c:txPr>
        <a:bodyPr/>
        <a:lstStyle/>
        <a:p>
          <a:pPr>
            <a:defRPr b="0" sz="900" strike="noStrike" u="none">
              <a:solidFill>
                <a:srgbClr val="404040"/>
              </a:solidFill>
              <a:uFillTx/>
              <a:latin typeface="Calibri"/>
            </a:defRPr>
          </a:pPr>
        </a:p>
      </c:txPr>
    </c:legend>
    <c:plotVisOnly val="1"/>
    <c:dispBlanksAs val="zero"/>
  </c:chart>
  <c:spPr>
    <a:gradFill>
      <a:gsLst>
        <a:gs pos="0">
          <a:srgbClr val="ffffff"/>
        </a:gs>
        <a:gs pos="39000">
          <a:srgbClr val="ffffff"/>
        </a:gs>
        <a:gs pos="100000">
          <a:srgbClr val="bfbfbf"/>
        </a:gs>
      </a:gsLst>
      <a:path path="circle">
        <a:fillToRect l="50000" t="0" r="50000" b="100000"/>
      </a:path>
    </a:gradFill>
    <a:ln w="9360">
      <a:solidFill>
        <a:srgbClr val="bfbfbf"/>
      </a:solidFill>
      <a:round/>
    </a:ln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roundedCorners val="0"/>
  <c:chart>
    <c:autoTitleDeleted val="1"/>
    <c:plotArea>
      <c:layout>
        <c:manualLayout>
          <c:layoutTarget val="inner"/>
          <c:xMode val="edge"/>
          <c:yMode val="edge"/>
          <c:x val="0.18475"/>
          <c:y val="0.215777777777778"/>
          <c:w val="0.3063125"/>
          <c:h val="0.574444444444444"/>
        </c:manualLayout>
      </c:layout>
      <c:pieChart>
        <c:varyColors val="1"/>
        <c:ser>
          <c:idx val="0"/>
          <c:order val="0"/>
          <c:tx>
            <c:strRef>
              <c:f>label 0</c:f>
              <c:strCache>
                <c:ptCount val="1"/>
                <c:pt idx="0">
                  <c:v>Ряд1</c:v>
                </c:pt>
              </c:strCache>
            </c:strRef>
          </c:tx>
          <c:spPr>
            <a:solidFill>
              <a:srgbClr val="ed7d31"/>
            </a:solidFill>
            <a:ln w="0">
              <a:noFill/>
            </a:ln>
          </c:spPr>
          <c:explosion val="0"/>
          <c:dPt>
            <c:idx val="0"/>
            <c:spPr>
              <a:solidFill>
                <a:srgbClr val="5b9bd5"/>
              </a:solidFill>
              <a:ln w="0">
                <a:noFill/>
              </a:ln>
            </c:spPr>
          </c:dPt>
          <c:dPt>
            <c:idx val="1"/>
            <c:spPr>
              <a:solidFill>
                <a:srgbClr val="ed7d31"/>
              </a:solidFill>
              <a:ln w="0">
                <a:noFill/>
              </a:ln>
            </c:spPr>
          </c:dPt>
          <c:dLbls>
            <c:numFmt formatCode="General" sourceLinked="0"/>
            <c:dLbl>
              <c:idx val="0"/>
              <c:numFmt formatCode="General" sourceLinked="0"/>
              <c:spPr>
                <a:solidFill>
                  <a:srgbClr val="595959"/>
                </a:solidFill>
              </c:spPr>
              <c:txPr>
                <a:bodyPr wrap="square"/>
                <a:lstStyle/>
                <a:p>
                  <a:pPr>
                    <a:defRPr b="1" sz="1000" strike="noStrike" u="none">
                      <a:solidFill>
                        <a:srgbClr val="ffffff"/>
                      </a:solidFill>
                      <a:uFillTx/>
                      <a:latin typeface="Calibri"/>
                    </a:defRPr>
                  </a:pPr>
                </a:p>
              </c:txPr>
              <c:dLblPos val="outEnd"/>
              <c:showLegendKey val="0"/>
              <c:showVal val="1"/>
              <c:showCatName val="1"/>
              <c:showSerName val="0"/>
              <c:showPercent val="1"/>
              <c:separator>; </c:separator>
            </c:dLbl>
            <c:dLbl>
              <c:idx val="1"/>
              <c:numFmt formatCode="General" sourceLinked="0"/>
              <c:spPr>
                <a:solidFill>
                  <a:srgbClr val="595959"/>
                </a:solidFill>
              </c:spPr>
              <c:txPr>
                <a:bodyPr wrap="square"/>
                <a:lstStyle/>
                <a:p>
                  <a:pPr>
                    <a:defRPr b="1" sz="1000" strike="noStrike" u="none">
                      <a:solidFill>
                        <a:srgbClr val="ffffff"/>
                      </a:solidFill>
                      <a:uFillTx/>
                      <a:latin typeface="Calibri"/>
                    </a:defRPr>
                  </a:pPr>
                </a:p>
              </c:txPr>
              <c:dLblPos val="outEnd"/>
              <c:showLegendKey val="0"/>
              <c:showVal val="1"/>
              <c:showCatName val="1"/>
              <c:showSerName val="0"/>
              <c:showPercent val="1"/>
              <c:separator>; </c:separator>
            </c:dLbl>
            <c:spPr>
              <a:solidFill>
                <a:srgbClr val="595959"/>
              </a:solidFill>
            </c:spPr>
            <c:txPr>
              <a:bodyPr wrap="square"/>
              <a:lstStyle/>
              <a:p>
                <a:pPr>
                  <a:defRPr b="1" sz="1000" strike="noStrike" u="none">
                    <a:solidFill>
                      <a:srgbClr val="ffffff"/>
                    </a:solidFill>
                    <a:uFillTx/>
                    <a:latin typeface="Calibri"/>
                  </a:defRPr>
                </a:pPr>
              </a:p>
            </c:txPr>
            <c:dLblPos val="outEnd"/>
            <c:showLegendKey val="0"/>
            <c:showVal val="1"/>
            <c:showCatName val="1"/>
            <c:showSerName val="0"/>
            <c:showPercent val="1"/>
            <c:separator>; </c:separator>
            <c:showLeaderLines val="1"/>
            <c:leaderLines>
              <c:spPr>
                <a:ln>
                  <a:solidFill>
                    <a:srgbClr val="808080"/>
                  </a:solidFill>
                </a:ln>
              </c:spPr>
            </c:leaderLines>
          </c:dLbls>
          <c:cat>
            <c:strRef>
              <c:f>categories</c:f>
              <c:strCache>
                <c:ptCount val="2"/>
                <c:pt idx="0">
                  <c:v>Сведения о доходах</c:v>
                </c:pt>
                <c:pt idx="1">
                  <c:v>Конфликт интересов</c:v>
                </c:pt>
              </c:strCache>
            </c:strRef>
          </c:cat>
          <c:val>
            <c:numRef>
              <c:f>0</c:f>
              <c:numCache>
                <c:formatCode>General</c:formatCode>
                <c:ptCount val="2"/>
                <c:pt idx="0">
                  <c:v>4</c:v>
                </c:pt>
                <c:pt idx="1">
                  <c:v>13</c:v>
                </c:pt>
              </c:numCache>
            </c:numRef>
          </c:val>
        </c:ser>
        <c:ser>
          <c:idx val="1"/>
          <c:order val="1"/>
          <c:tx>
            <c:strRef>
              <c:f>label 1</c:f>
              <c:strCache>
                <c:ptCount val="1"/>
                <c:pt idx="0">
                  <c:v>Ряд2</c:v>
                </c:pt>
              </c:strCache>
            </c:strRef>
          </c:tx>
          <c:spPr>
            <a:solidFill>
              <a:srgbClr val="a5a5a5"/>
            </a:solidFill>
            <a:ln w="0">
              <a:noFill/>
            </a:ln>
          </c:spPr>
          <c:explosion val="25"/>
          <c:dPt>
            <c:idx val="0"/>
            <c:explosion val="25"/>
            <c:spPr>
              <a:solidFill>
                <a:srgbClr val="5b9bd5"/>
              </a:solidFill>
              <a:ln w="0">
                <a:noFill/>
              </a:ln>
            </c:spPr>
          </c:dPt>
          <c:dPt>
            <c:idx val="1"/>
            <c:explosion val="25"/>
            <c:spPr>
              <a:solidFill>
                <a:srgbClr val="ed7d31"/>
              </a:solidFill>
              <a:ln w="0">
                <a:noFill/>
              </a:ln>
            </c:spPr>
          </c:dPt>
          <c:dLbls>
            <c:numFmt formatCode="General" sourceLinked="0"/>
            <c:dLbl>
              <c:idx val="0"/>
              <c:numFmt formatCode="General" sourceLinked="0"/>
              <c:spPr>
                <a:solidFill>
                  <a:srgbClr val="595959"/>
                </a:solidFill>
              </c:spPr>
              <c:txPr>
                <a:bodyPr wrap="square"/>
                <a:lstStyle/>
                <a:p>
                  <a:pPr>
                    <a:defRPr b="1" sz="1000" strike="noStrike" u="none">
                      <a:solidFill>
                        <a:srgbClr val="ffffff"/>
                      </a:solidFill>
                      <a:uFillTx/>
                      <a:latin typeface="Calibri"/>
                    </a:defRPr>
                  </a:pPr>
                </a:p>
              </c:txPr>
              <c:dLblPos val="outEnd"/>
              <c:showLegendKey val="0"/>
              <c:showVal val="1"/>
              <c:showCatName val="0"/>
              <c:showSerName val="0"/>
              <c:showPercent val="1"/>
              <c:separator>; </c:separator>
            </c:dLbl>
            <c:dLbl>
              <c:idx val="1"/>
              <c:numFmt formatCode="General" sourceLinked="0"/>
              <c:spPr>
                <a:solidFill>
                  <a:srgbClr val="595959"/>
                </a:solidFill>
              </c:spPr>
              <c:txPr>
                <a:bodyPr wrap="square"/>
                <a:lstStyle/>
                <a:p>
                  <a:pPr>
                    <a:defRPr b="1" sz="1000" strike="noStrike" u="none">
                      <a:solidFill>
                        <a:srgbClr val="ffffff"/>
                      </a:solidFill>
                      <a:uFillTx/>
                      <a:latin typeface="Calibri"/>
                    </a:defRPr>
                  </a:pPr>
                </a:p>
              </c:txPr>
              <c:dLblPos val="outEnd"/>
              <c:showLegendKey val="0"/>
              <c:showVal val="1"/>
              <c:showCatName val="0"/>
              <c:showSerName val="0"/>
              <c:showPercent val="1"/>
              <c:separator>; </c:separator>
            </c:dLbl>
            <c:spPr>
              <a:solidFill>
                <a:srgbClr val="595959"/>
              </a:solidFill>
            </c:spPr>
            <c:txPr>
              <a:bodyPr wrap="square"/>
              <a:lstStyle/>
              <a:p>
                <a:pPr>
                  <a:defRPr b="1" sz="1000" strike="noStrike" u="none">
                    <a:solidFill>
                      <a:srgbClr val="ffffff"/>
                    </a:solidFill>
                    <a:uFillTx/>
                    <a:latin typeface="Calibri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1"/>
            <c:separator>; </c:separator>
            <c:showLeaderLines val="1"/>
            <c:leaderLines>
              <c:spPr>
                <a:ln>
                  <a:solidFill>
                    <a:srgbClr val="808080"/>
                  </a:solidFill>
                </a:ln>
              </c:spPr>
            </c:leaderLines>
          </c:dLbls>
          <c:cat>
            <c:strRef>
              <c:f>categories</c:f>
              <c:strCache>
                <c:ptCount val="2"/>
                <c:pt idx="0">
                  <c:v>Сведения о доходах</c:v>
                </c:pt>
                <c:pt idx="1">
                  <c:v>Конфликт интересов</c:v>
                </c:pt>
              </c:strCache>
            </c:strRef>
          </c:cat>
          <c:val>
            <c:numRef>
              <c:f>1</c:f>
              <c:numCache>
                <c:formatCode>General</c:formatCode>
                <c:ptCount val="2"/>
              </c:numCache>
            </c:numRef>
          </c:val>
        </c:ser>
        <c:ser>
          <c:idx val="2"/>
          <c:order val="2"/>
          <c:tx>
            <c:strRef>
              <c:f>label 2</c:f>
              <c:strCache>
                <c:ptCount val="1"/>
                <c:pt idx="0">
                  <c:v>Ряд3</c:v>
                </c:pt>
              </c:strCache>
            </c:strRef>
          </c:tx>
          <c:spPr>
            <a:solidFill>
              <a:srgbClr val="ffc000"/>
            </a:solidFill>
            <a:ln w="0">
              <a:noFill/>
            </a:ln>
          </c:spPr>
          <c:explosion val="25"/>
          <c:dPt>
            <c:idx val="0"/>
            <c:explosion val="25"/>
            <c:spPr>
              <a:solidFill>
                <a:srgbClr val="5b9bd5"/>
              </a:solidFill>
              <a:ln w="0">
                <a:noFill/>
              </a:ln>
            </c:spPr>
          </c:dPt>
          <c:dPt>
            <c:idx val="1"/>
            <c:explosion val="25"/>
            <c:spPr>
              <a:solidFill>
                <a:srgbClr val="ed7d31"/>
              </a:solidFill>
              <a:ln w="0">
                <a:noFill/>
              </a:ln>
            </c:spPr>
          </c:dPt>
          <c:dLbls>
            <c:numFmt formatCode="General" sourceLinked="0"/>
            <c:dLbl>
              <c:idx val="0"/>
              <c:numFmt formatCode="General" sourceLinked="0"/>
              <c:spPr>
                <a:solidFill>
                  <a:srgbClr val="595959"/>
                </a:solidFill>
              </c:spPr>
              <c:txPr>
                <a:bodyPr wrap="square"/>
                <a:lstStyle/>
                <a:p>
                  <a:pPr>
                    <a:defRPr b="1" sz="1000" strike="noStrike" u="none">
                      <a:solidFill>
                        <a:srgbClr val="ffffff"/>
                      </a:solidFill>
                      <a:uFillTx/>
                      <a:latin typeface="Calibri"/>
                    </a:defRPr>
                  </a:pPr>
                </a:p>
              </c:txPr>
              <c:dLblPos val="outEnd"/>
              <c:showLegendKey val="0"/>
              <c:showVal val="1"/>
              <c:showCatName val="0"/>
              <c:showSerName val="0"/>
              <c:showPercent val="1"/>
              <c:separator>; </c:separator>
            </c:dLbl>
            <c:dLbl>
              <c:idx val="1"/>
              <c:numFmt formatCode="General" sourceLinked="0"/>
              <c:spPr>
                <a:solidFill>
                  <a:srgbClr val="595959"/>
                </a:solidFill>
              </c:spPr>
              <c:txPr>
                <a:bodyPr wrap="square"/>
                <a:lstStyle/>
                <a:p>
                  <a:pPr>
                    <a:defRPr b="1" sz="1000" strike="noStrike" u="none">
                      <a:solidFill>
                        <a:srgbClr val="ffffff"/>
                      </a:solidFill>
                      <a:uFillTx/>
                      <a:latin typeface="Calibri"/>
                    </a:defRPr>
                  </a:pPr>
                </a:p>
              </c:txPr>
              <c:dLblPos val="outEnd"/>
              <c:showLegendKey val="0"/>
              <c:showVal val="1"/>
              <c:showCatName val="0"/>
              <c:showSerName val="0"/>
              <c:showPercent val="1"/>
              <c:separator>; </c:separator>
            </c:dLbl>
            <c:spPr>
              <a:solidFill>
                <a:srgbClr val="595959"/>
              </a:solidFill>
            </c:spPr>
            <c:txPr>
              <a:bodyPr wrap="square"/>
              <a:lstStyle/>
              <a:p>
                <a:pPr>
                  <a:defRPr b="1" sz="1000" strike="noStrike" u="none">
                    <a:solidFill>
                      <a:srgbClr val="ffffff"/>
                    </a:solidFill>
                    <a:uFillTx/>
                    <a:latin typeface="Calibri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1"/>
            <c:separator>; </c:separator>
            <c:showLeaderLines val="1"/>
            <c:leaderLines>
              <c:spPr>
                <a:ln>
                  <a:solidFill>
                    <a:srgbClr val="808080"/>
                  </a:solidFill>
                </a:ln>
              </c:spPr>
            </c:leaderLines>
          </c:dLbls>
          <c:cat>
            <c:strRef>
              <c:f>categories</c:f>
              <c:strCache>
                <c:ptCount val="2"/>
                <c:pt idx="0">
                  <c:v>Сведения о доходах</c:v>
                </c:pt>
                <c:pt idx="1">
                  <c:v>Конфликт интересов</c:v>
                </c:pt>
              </c:strCache>
            </c:strRef>
          </c:cat>
          <c:val>
            <c:numRef>
              <c:f>2</c:f>
              <c:numCache>
                <c:formatCode>General</c:formatCode>
                <c:ptCount val="2"/>
              </c:numCache>
            </c:numRef>
          </c:val>
        </c:ser>
        <c:ser>
          <c:idx val="3"/>
          <c:order val="3"/>
          <c:tx>
            <c:strRef>
              <c:f>label 3</c:f>
              <c:strCache>
                <c:ptCount val="1"/>
                <c:pt idx="0">
                  <c:v>Ряд4</c:v>
                </c:pt>
              </c:strCache>
            </c:strRef>
          </c:tx>
          <c:spPr>
            <a:solidFill>
              <a:srgbClr val="4472c4"/>
            </a:solidFill>
            <a:ln w="0">
              <a:noFill/>
            </a:ln>
          </c:spPr>
          <c:explosion val="25"/>
          <c:dPt>
            <c:idx val="0"/>
            <c:explosion val="25"/>
            <c:spPr>
              <a:solidFill>
                <a:srgbClr val="5b9bd5"/>
              </a:solidFill>
              <a:ln w="0">
                <a:noFill/>
              </a:ln>
            </c:spPr>
          </c:dPt>
          <c:dPt>
            <c:idx val="1"/>
            <c:explosion val="25"/>
            <c:spPr>
              <a:solidFill>
                <a:srgbClr val="ed7d31"/>
              </a:solidFill>
              <a:ln w="0">
                <a:noFill/>
              </a:ln>
            </c:spPr>
          </c:dPt>
          <c:dLbls>
            <c:numFmt formatCode="General" sourceLinked="0"/>
            <c:dLbl>
              <c:idx val="0"/>
              <c:numFmt formatCode="General" sourceLinked="0"/>
              <c:spPr>
                <a:solidFill>
                  <a:srgbClr val="595959"/>
                </a:solidFill>
              </c:spPr>
              <c:txPr>
                <a:bodyPr wrap="square"/>
                <a:lstStyle/>
                <a:p>
                  <a:pPr>
                    <a:defRPr b="1" sz="1000" strike="noStrike" u="none">
                      <a:solidFill>
                        <a:srgbClr val="ffffff"/>
                      </a:solidFill>
                      <a:uFillTx/>
                      <a:latin typeface="Calibri"/>
                    </a:defRPr>
                  </a:pPr>
                </a:p>
              </c:txPr>
              <c:dLblPos val="outEnd"/>
              <c:showLegendKey val="0"/>
              <c:showVal val="1"/>
              <c:showCatName val="0"/>
              <c:showSerName val="0"/>
              <c:showPercent val="1"/>
              <c:separator>; </c:separator>
            </c:dLbl>
            <c:dLbl>
              <c:idx val="1"/>
              <c:numFmt formatCode="General" sourceLinked="0"/>
              <c:spPr>
                <a:solidFill>
                  <a:srgbClr val="595959"/>
                </a:solidFill>
              </c:spPr>
              <c:txPr>
                <a:bodyPr wrap="square"/>
                <a:lstStyle/>
                <a:p>
                  <a:pPr>
                    <a:defRPr b="1" sz="1000" strike="noStrike" u="none">
                      <a:solidFill>
                        <a:srgbClr val="ffffff"/>
                      </a:solidFill>
                      <a:uFillTx/>
                      <a:latin typeface="Calibri"/>
                    </a:defRPr>
                  </a:pPr>
                </a:p>
              </c:txPr>
              <c:dLblPos val="outEnd"/>
              <c:showLegendKey val="0"/>
              <c:showVal val="1"/>
              <c:showCatName val="0"/>
              <c:showSerName val="0"/>
              <c:showPercent val="1"/>
              <c:separator>; </c:separator>
            </c:dLbl>
            <c:spPr>
              <a:solidFill>
                <a:srgbClr val="595959"/>
              </a:solidFill>
            </c:spPr>
            <c:txPr>
              <a:bodyPr wrap="square"/>
              <a:lstStyle/>
              <a:p>
                <a:pPr>
                  <a:defRPr b="1" sz="1000" strike="noStrike" u="none">
                    <a:solidFill>
                      <a:srgbClr val="ffffff"/>
                    </a:solidFill>
                    <a:uFillTx/>
                    <a:latin typeface="Calibri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1"/>
            <c:separator>; </c:separator>
            <c:showLeaderLines val="1"/>
            <c:leaderLines>
              <c:spPr>
                <a:ln>
                  <a:solidFill>
                    <a:srgbClr val="808080"/>
                  </a:solidFill>
                </a:ln>
              </c:spPr>
            </c:leaderLines>
          </c:dLbls>
          <c:cat>
            <c:strRef>
              <c:f>categories</c:f>
              <c:strCache>
                <c:ptCount val="2"/>
                <c:pt idx="0">
                  <c:v>Сведения о доходах</c:v>
                </c:pt>
                <c:pt idx="1">
                  <c:v>Конфликт интересов</c:v>
                </c:pt>
              </c:strCache>
            </c:strRef>
          </c:cat>
          <c:val>
            <c:numRef>
              <c:f>3</c:f>
              <c:numCache>
                <c:formatCode>General</c:formatCode>
                <c:ptCount val="2"/>
              </c:numCache>
            </c:numRef>
          </c:val>
        </c:ser>
        <c:firstSliceAng val="113"/>
      </c:pieChart>
      <c:spPr>
        <a:noFill/>
        <a:ln w="0">
          <a:noFill/>
        </a:ln>
      </c:spPr>
    </c:plotArea>
    <c:legend>
      <c:legendPos val="r"/>
      <c:overlay val="0"/>
      <c:spPr>
        <a:solidFill>
          <a:srgbClr val="f2f2f2">
            <a:alpha val="39000"/>
          </a:srgbClr>
        </a:solidFill>
        <a:ln w="0">
          <a:noFill/>
        </a:ln>
      </c:spPr>
      <c:txPr>
        <a:bodyPr/>
        <a:lstStyle/>
        <a:p>
          <a:pPr>
            <a:defRPr b="0" sz="900" strike="noStrike" u="none">
              <a:solidFill>
                <a:srgbClr val="404040"/>
              </a:solidFill>
              <a:uFillTx/>
              <a:latin typeface="Calibri"/>
            </a:defRPr>
          </a:pPr>
        </a:p>
      </c:txPr>
    </c:legend>
    <c:plotVisOnly val="1"/>
    <c:dispBlanksAs val="zero"/>
  </c:chart>
  <c:spPr>
    <a:gradFill>
      <a:gsLst>
        <a:gs pos="0">
          <a:srgbClr val="ffffff"/>
        </a:gs>
        <a:gs pos="39000">
          <a:srgbClr val="ffffff"/>
        </a:gs>
        <a:gs pos="100000">
          <a:srgbClr val="bfbfbf"/>
        </a:gs>
      </a:gsLst>
      <a:path path="circle">
        <a:fillToRect l="50000" t="0" r="50000" b="100000"/>
      </a:path>
    </a:gradFill>
    <a:ln w="9360">
      <a:solidFill>
        <a:srgbClr val="bfbfbf"/>
      </a:solidFill>
      <a:round/>
    </a:ln>
  </c:spPr>
  <c:externalData r:id="rId1"/>
</c:chartSpace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A67728-D742-4344-BAA0-C3569FDF1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1120</TotalTime>
  <Application>LibreOffice/24.8.4.1$Linux_X86_64 LibreOffice_project/480$Build-1</Application>
  <AppVersion>15.0000</AppVersion>
  <Pages>17</Pages>
  <Words>3278</Words>
  <Characters>23770</Characters>
  <CharactersWithSpaces>26912</CharactersWithSpaces>
  <Paragraphs>209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2025-02-27T09:11:00Z</dcterms:created>
  <dc:creator>ap_podbelsky</dc:creator>
  <dc:description/>
  <dc:language>ru-RU</dc:language>
  <cp:lastModifiedBy>Максим Сергеевич Попов</cp:lastModifiedBy>
  <cp:lastPrinted>2026-02-20T12:06:11Z</cp:lastPrinted>
  <dcterms:modified xsi:type="dcterms:W3CDTF">2026-02-25T10:23:34Z</dcterms:modified>
  <cp:revision>43</cp:revision>
  <dc:subject/>
  <dc:title>Аппарат Правительства Пермского края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