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Таблица изменений </w:t>
      </w:r>
    </w:p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в федеральном законодательстве в сфере противодействия коррупции </w:t>
      </w:r>
    </w:p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 xml:space="preserve">за период с 1 </w:t>
      </w:r>
      <w:r>
        <w:rPr>
          <w:rFonts w:cs="Times New Roman" w:ascii="Times New Roman" w:hAnsi="Times New Roman"/>
          <w:b/>
          <w:sz w:val="28"/>
        </w:rPr>
        <w:t>июля</w:t>
      </w:r>
      <w:r>
        <w:rPr>
          <w:rFonts w:cs="Times New Roman" w:ascii="Times New Roman" w:hAnsi="Times New Roman"/>
          <w:b/>
          <w:sz w:val="28"/>
        </w:rPr>
        <w:t xml:space="preserve"> по 30 </w:t>
      </w:r>
      <w:r>
        <w:rPr>
          <w:rFonts w:cs="Times New Roman" w:ascii="Times New Roman" w:hAnsi="Times New Roman"/>
          <w:b/>
          <w:sz w:val="28"/>
        </w:rPr>
        <w:t>сентября</w:t>
      </w:r>
      <w:r>
        <w:rPr>
          <w:rFonts w:cs="Times New Roman" w:ascii="Times New Roman" w:hAnsi="Times New Roman"/>
          <w:b/>
          <w:sz w:val="28"/>
        </w:rPr>
        <w:t xml:space="preserve"> 2025 г.</w:t>
      </w:r>
    </w:p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1"/>
        <w:tblW w:w="14625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0"/>
        <w:gridCol w:w="5535"/>
        <w:gridCol w:w="5520"/>
        <w:gridCol w:w="2160"/>
      </w:tblGrid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>Норма</w:t>
            </w:r>
          </w:p>
        </w:tc>
        <w:tc>
          <w:tcPr>
            <w:tcW w:w="5535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>Было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>Стало</w:t>
            </w:r>
          </w:p>
        </w:tc>
        <w:tc>
          <w:tcPr>
            <w:tcW w:w="2160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Вступление </w:t>
              <w:br/>
              <w:t>в силу</w:t>
            </w:r>
          </w:p>
        </w:tc>
      </w:tr>
      <w:tr>
        <w:trPr/>
        <w:tc>
          <w:tcPr>
            <w:tcW w:w="14625" w:type="dxa"/>
            <w:gridSpan w:val="4"/>
            <w:tcBorders/>
          </w:tcPr>
          <w:p>
            <w:pPr>
              <w:pStyle w:val="Normal"/>
              <w:widowControl/>
              <w:spacing w:lineRule="exact" w:line="260" w:before="0" w:after="0"/>
              <w:jc w:val="center"/>
              <w:rPr/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Положение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>о комиссиях по соблюдению требований к служебному поведению федеральных государственных служащих</w:t>
              <w:br/>
              <w:t xml:space="preserve">и урегулированию конфликта интересов, утвержденное Указом Президента Российской Федерации от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>01.07.2010 №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 821</w:t>
              <w:t xml:space="preserve"> </w:t>
              <w:br/>
              <w:t xml:space="preserve">(в редакции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Указа Президента Российской Федерации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от 09.07.2025 </w:t>
            </w:r>
            <w:r>
              <w:rPr>
                <w:rFonts w:ascii="Times New Roman" w:hAnsi="Times New Roman"/>
                <w:b/>
                <w:sz w:val="24"/>
              </w:rPr>
              <w:t>№</w:t>
            </w:r>
            <w:r>
              <w:rPr>
                <w:rFonts w:ascii="Times New Roman" w:hAnsi="Times New Roman"/>
                <w:b/>
                <w:sz w:val="24"/>
              </w:rPr>
              <w:t xml:space="preserve"> 465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>)</w:t>
            </w:r>
          </w:p>
        </w:tc>
      </w:tr>
      <w:tr>
        <w:trPr/>
        <w:tc>
          <w:tcPr>
            <w:tcW w:w="1410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п. 7</w:t>
            </w:r>
          </w:p>
        </w:tc>
        <w:tc>
          <w:tcPr>
            <w:tcW w:w="5535" w:type="dxa"/>
            <w:tcBorders/>
          </w:tcPr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Комиссия образуется нормативным правовым актом государственного органа. Указанным актом утверждаются состав комиссии и порядок ее работы.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strike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В состав комиссии входят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председатель комиссии, его заместитель, </w:t>
            </w:r>
            <w:r>
              <w:rPr>
                <w:rFonts w:eastAsia="Calibri" w:cs="Times New Roman" w:ascii="Times New Roman" w:hAnsi="Times New Roman"/>
                <w:strike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назначаемый руководителем государственного органа из числа членов комиссии, замещающих должности государственной службы в государственном органе,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>Комиссия образуется нормативным правовым актом государственного органа. Указанным актом утверждаются состав комиссии и порядок ее работы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 xml:space="preserve">, назначаются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председатель комиссии, его заместитель, секретарь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и определяются другие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 члены комиссии.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      </w:r>
          </w:p>
        </w:tc>
        <w:tc>
          <w:tcPr>
            <w:tcW w:w="216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09.07.2025</w:t>
            </w:r>
          </w:p>
        </w:tc>
      </w:tr>
      <w:tr>
        <w:trPr>
          <w:trHeight w:val="4875" w:hRule="atLeast"/>
        </w:trPr>
        <w:tc>
          <w:tcPr>
            <w:tcW w:w="1410" w:type="dxa"/>
            <w:tcBorders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п. 8</w:t>
            </w:r>
          </w:p>
        </w:tc>
        <w:tc>
          <w:tcPr>
            <w:tcW w:w="5535" w:type="dxa"/>
            <w:tcBorders/>
          </w:tcPr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Calibri" w:hAnsi="Calibri"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>В состав комиссии входят:</w:t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Calibri" w:hAnsi="Calibri"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а)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заместитель руководителя государственного органа (председатель комиссии),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государственные служащие </w:t>
            </w:r>
            <w:r>
              <w:rPr>
                <w:rFonts w:eastAsia="Calibri" w:cs="Times New Roman" w:ascii="Times New Roman" w:hAnsi="Times New Roman"/>
                <w:strike/>
                <w:spacing w:val="-2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из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 подразделения по вопросам государственной службы и кадров, юридического (правового) подразделения, других подразделений государственного органа, определяемые его руководителем;</w:t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Calibri" w:hAnsi="Calibri" w:eastAsia="Calibri" w:cs="Times New Roman"/>
                <w:spacing w:val="-2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б)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представитель Управления Президента Российской Федерации по вопросам государственной службы, кадров и противодействия коррупции или </w:t>
            </w:r>
            <w:r>
              <w:rPr>
                <w:rFonts w:eastAsia="Calibri" w:cs="Times New Roman" w:ascii="Times New Roman" w:hAnsi="Times New Roman"/>
                <w:strike/>
                <w:spacing w:val="-2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соответствующего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 подразделения Аппарата Правительства Российской Федерации;</w:t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 xml:space="preserve">в)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lang w:val="ru-RU" w:eastAsia="ru-RU" w:bidi="ar-SA"/>
              </w:rPr>
              <w:t>представитель (представители) научных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организаций </w:t>
            </w:r>
            <w:r>
              <w:rPr>
                <w:rFonts w:eastAsia="Calibri" w:cs="Times New Roman" w:ascii="Times New Roman" w:hAnsi="Times New Roman"/>
                <w:strike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и образовательных учреждений среднего, высшего и дополнительного профессионального образования,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деятельность которых связана с государственной службой.</w:t>
            </w:r>
          </w:p>
        </w:tc>
        <w:tc>
          <w:tcPr>
            <w:tcW w:w="5520" w:type="dxa"/>
            <w:tcBorders/>
          </w:tcPr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spacing w:val="-2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В состав комиссии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(за исключением случая, предусмотренного пунктом 11(1) настоящего Положения)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 входят: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spacing w:val="-2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а)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заместитель руководителя государственного органа (председатель комиссии),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лицо, замещающее должность государственной службы в государственном органе (заместитель председателя комиссии),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 руководитель подразделения кадровой службы государственного органа по профилактике коррупционных и иных правонарушений либо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государственные служащие подразделения по вопросам государственной службы и кадров, юридического (правового) подразделения, других подразделений государственного органа, определяемые его руководителем;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spacing w:val="0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б) </w:t>
            </w:r>
            <w:r>
              <w:rPr>
                <w:rFonts w:eastAsia="Calibri" w:cs="Times New Roman" w:ascii="Times New Roman" w:hAnsi="Times New Roman"/>
                <w:spacing w:val="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>представитель Управления Президента Российской Федерации по вопросам государственной службы, кадров и противодействия коррупции или подразделения Аппарата Правительства Российской Федерации, определяемого Правительством Российской Федерации;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spacing w:val="0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в) </w:t>
            </w:r>
            <w:r>
              <w:rPr>
                <w:rFonts w:eastAsia="Calibri" w:cs="Times New Roman" w:ascii="Times New Roman" w:hAnsi="Times New Roman"/>
                <w:spacing w:val="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представитель (представители) научных организаций </w:t>
            </w:r>
            <w:r>
              <w:rPr>
                <w:rFonts w:eastAsia="Calibri" w:cs="Times New Roman" w:ascii="Times New Roman" w:hAnsi="Times New Roman"/>
                <w:spacing w:val="0"/>
                <w:kern w:val="0"/>
                <w:sz w:val="24"/>
                <w:szCs w:val="22"/>
                <w:shd w:fill="FFFF00" w:val="clear"/>
                <w:lang w:val="ru-RU" w:eastAsia="ru-RU" w:bidi="ar-SA"/>
              </w:rPr>
              <w:t>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</w:t>
            </w:r>
            <w:r>
              <w:rPr>
                <w:rFonts w:eastAsia="Calibri" w:cs="Times New Roman" w:ascii="Times New Roman" w:hAnsi="Times New Roman"/>
                <w:spacing w:val="0"/>
                <w:kern w:val="0"/>
                <w:sz w:val="24"/>
                <w:szCs w:val="22"/>
                <w:shd w:fill="auto" w:val="clear"/>
                <w:lang w:val="ru-RU" w:eastAsia="ru-RU" w:bidi="ar-SA"/>
              </w:rPr>
              <w:t xml:space="preserve"> деятельность которых связана с государственной службой.</w:t>
            </w:r>
          </w:p>
        </w:tc>
        <w:tc>
          <w:tcPr>
            <w:tcW w:w="216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</w:r>
          </w:p>
        </w:tc>
      </w:tr>
      <w:tr>
        <w:trPr>
          <w:trHeight w:val="815" w:hRule="atLeast"/>
        </w:trPr>
        <w:tc>
          <w:tcPr>
            <w:tcW w:w="1410" w:type="dxa"/>
            <w:tcBorders>
              <w:top w:val="nil"/>
            </w:tcBorders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п. 10</w:t>
            </w:r>
          </w:p>
        </w:tc>
        <w:tc>
          <w:tcPr>
            <w:tcW w:w="5535" w:type="dxa"/>
            <w:tcBorders>
              <w:top w:val="nil"/>
            </w:tcBorders>
          </w:tcPr>
          <w:p>
            <w:pPr>
              <w:pStyle w:val="BodyText"/>
              <w:widowControl/>
              <w:bidi w:val="0"/>
              <w:spacing w:lineRule="exact" w:line="240" w:before="0" w:after="0"/>
              <w:ind w:firstLine="240" w:left="0" w:right="0"/>
              <w:jc w:val="both"/>
              <w:rPr/>
            </w:pPr>
            <w:r>
              <w:rPr>
                <w:rFonts w:eastAsia="Calibri" w:cs="Times New Roman" w:ascii="Times New Roman" w:hAnsi="Times New Roman"/>
                <w:b w:val="false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Лица, указанные в </w:t>
            </w:r>
            <w:r>
              <w:rPr>
                <w:rFonts w:eastAsia="Calibri" w:cs="Times New Roman" w:ascii="Times New Roman" w:hAnsi="Times New Roman"/>
                <w:b w:val="false"/>
                <w:strike w:val="false"/>
                <w:dstrike w:val="false"/>
                <w:color w:val="111111"/>
                <w:spacing w:val="-2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подпунктах «б»</w:t>
            </w:r>
            <w:r>
              <w:rPr>
                <w:rFonts w:eastAsia="Calibri" w:cs="Times New Roman" w:ascii="Times New Roman" w:hAnsi="Times New Roman"/>
                <w:b w:val="false"/>
                <w:color w:val="111111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и «</w:t>
            </w:r>
            <w:r>
              <w:rPr>
                <w:rFonts w:eastAsia="Calibri" w:cs="Times New Roman" w:ascii="Times New Roman" w:hAnsi="Times New Roman"/>
                <w:b w:val="false"/>
                <w:strike w:val="false"/>
                <w:dstrike w:val="false"/>
                <w:color w:val="111111"/>
                <w:spacing w:val="-2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в» пункта 8</w:t>
            </w:r>
            <w:r>
              <w:rPr>
                <w:rFonts w:eastAsia="Calibri" w:cs="Times New Roman" w:ascii="Times New Roman" w:hAnsi="Times New Roman"/>
                <w:b w:val="false"/>
                <w:color w:val="111111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и в </w:t>
            </w:r>
            <w:r>
              <w:rPr>
                <w:rFonts w:eastAsia="Calibri" w:cs="Times New Roman" w:ascii="Times New Roman" w:hAnsi="Times New Roman"/>
                <w:b w:val="false"/>
                <w:strike w:val="false"/>
                <w:dstrike w:val="false"/>
                <w:color w:val="111111"/>
                <w:spacing w:val="-2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пункте 9</w:t>
            </w:r>
            <w:r>
              <w:rPr>
                <w:rFonts w:eastAsia="Calibri" w:cs="Times New Roman" w:ascii="Times New Roman" w:hAnsi="Times New Roman"/>
                <w:b w:val="false"/>
                <w:color w:val="111111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 w:val="false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настоящего Положения, включаются в состав комиссии </w:t>
            </w:r>
            <w:r>
              <w:rPr>
                <w:rFonts w:eastAsia="Calibri" w:cs="Times New Roman" w:ascii="Times New Roman" w:hAnsi="Times New Roman"/>
                <w:b w:val="false"/>
                <w:strike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в установленном порядке</w:t>
            </w:r>
            <w:r>
              <w:rPr>
                <w:rFonts w:eastAsia="Calibri" w:cs="Times New Roman" w:ascii="Times New Roman" w:hAnsi="Times New Roman"/>
                <w:b w:val="false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</w:t>
              <w:br/>
              <w:t xml:space="preserve">по согласованию с Управлением Президента Российской Федерации по вопросам государственной службы, кадров и противодействия коррупции </w:t>
            </w:r>
            <w:r>
              <w:rPr>
                <w:rFonts w:eastAsia="Calibri" w:cs="Times New Roman" w:ascii="Times New Roman" w:hAnsi="Times New Roman"/>
                <w:b w:val="false"/>
                <w:strike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или с соответствующим</w:t>
            </w:r>
            <w:r>
              <w:rPr>
                <w:rFonts w:eastAsia="Calibri" w:cs="Times New Roman" w:ascii="Times New Roman" w:hAnsi="Times New Roman"/>
                <w:b w:val="false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подразделением Аппарата Правительства Российской Федерации, с научными организациями </w:t>
            </w:r>
            <w:r>
              <w:rPr>
                <w:rFonts w:eastAsia="Calibri" w:cs="Times New Roman" w:ascii="Times New Roman" w:hAnsi="Times New Roman"/>
                <w:b w:val="false"/>
                <w:strike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и образовательными учреждениями среднего, высшего и дополнительного профессионального образования,</w:t>
            </w:r>
            <w:r>
              <w:rPr>
                <w:rFonts w:eastAsia="Calibri" w:cs="Times New Roman" w:ascii="Times New Roman" w:hAnsi="Times New Roman"/>
                <w:b w:val="false"/>
                <w:spacing w:val="-2"/>
                <w:kern w:val="0"/>
                <w:sz w:val="24"/>
                <w:szCs w:val="24"/>
                <w:lang w:val="ru-RU" w:eastAsia="ru-RU" w:bidi="ar-SA"/>
              </w:rPr>
              <w:t xml:space="preserve"> с общественным советом, образованным при федеральном органе исполнительной власти,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</w:t>
            </w:r>
            <w:r>
              <w:rPr>
                <w:rFonts w:eastAsia="Calibri" w:cs="Times New Roman" w:ascii="Times New Roman" w:hAnsi="Times New Roman"/>
                <w:b w:val="false"/>
                <w:strike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, на основании запроса руководителя государственного органа. Согласование осуществляется в 10-дневный срок со дня получения запроса.</w:t>
            </w:r>
          </w:p>
          <w:p>
            <w:pPr>
              <w:pStyle w:val="Normal"/>
              <w:widowControl/>
              <w:bidi w:val="0"/>
              <w:spacing w:lineRule="exact" w:line="240" w:before="0" w:after="0"/>
              <w:ind w:firstLine="240" w:left="0" w:right="0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520" w:type="dxa"/>
            <w:tcBorders>
              <w:top w:val="nil"/>
            </w:tcBorders>
          </w:tcPr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Лица, указанные в подпунктах «б» и «в» пункта 8 и пункте 9 настоящего Положения, включаются</w:t>
              <w:br/>
              <w:t>в состав комиссии по согласованию: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а) с Управлением Президента Российской Федерации по вопросам государственной службы, кадров и противодействия коррупции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- при формировании комиссий в федеральных министерствах, федеральных службах и федеральных агентствах, руководство деятельностью которых осуществляет Президент Российской Федерации, в федеральных службах и федеральных агентствах, подведомственных этим федеральным министерствам, а также в других государственных органах, за исключением указанных в подпункте «б» настоящего пункта;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б) с подразделением Аппарата Правительства Российской Федерации, определяемым Правительством Российской Федерации,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- при формировании комиссий в федеральных министерствах, руководство деятельностью которых осуществляет Правительство Российской Федерации, в федеральных службах и федеральных агентствах, подведомственных этим федеральным министерствам, а также в федеральных службах и федеральных агентствах, руководство деятельностью которых осуществляет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Правительство Российской Федерации;</w:t>
            </w:r>
          </w:p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Calibri" w:hAnsi="Calibri" w:eastAsia="Calibri" w:cs="Times New Roman"/>
                <w:spacing w:val="-2"/>
                <w:kern w:val="0"/>
                <w:sz w:val="22"/>
                <w:szCs w:val="22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в) с научными организациями, 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</w:t>
            </w: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общественным советом, образованным при федеральном органе исполнительной власти,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органе.</w:t>
            </w:r>
          </w:p>
        </w:tc>
        <w:tc>
          <w:tcPr>
            <w:tcW w:w="216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</w:r>
          </w:p>
        </w:tc>
      </w:tr>
      <w:tr>
        <w:trPr>
          <w:trHeight w:val="815" w:hRule="atLeast"/>
        </w:trPr>
        <w:tc>
          <w:tcPr>
            <w:tcW w:w="1410" w:type="dxa"/>
            <w:tcBorders>
              <w:top w:val="nil"/>
            </w:tcBorders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п. 11(1)</w:t>
            </w:r>
          </w:p>
        </w:tc>
        <w:tc>
          <w:tcPr>
            <w:tcW w:w="5535" w:type="dxa"/>
            <w:tcBorders>
              <w:top w:val="nil"/>
            </w:tcBorders>
          </w:tcPr>
          <w:p>
            <w:pPr>
              <w:pStyle w:val="BodyText"/>
              <w:widowControl/>
              <w:bidi w:val="0"/>
              <w:spacing w:lineRule="exact" w:line="240" w:before="0" w:after="0"/>
              <w:ind w:firstLine="240" w:left="0" w:right="0"/>
              <w:jc w:val="center"/>
              <w:rPr>
                <w:rFonts w:ascii="Times New Roman" w:hAnsi="Times New Roman" w:eastAsia="Calibri" w:cs="Times New Roman"/>
                <w:spacing w:val="-2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lang w:val="ru-RU" w:eastAsia="ru-RU" w:bidi="ar-SA"/>
              </w:rPr>
              <w:t>Отсутствовал</w:t>
            </w:r>
          </w:p>
        </w:tc>
        <w:tc>
          <w:tcPr>
            <w:tcW w:w="5520" w:type="dxa"/>
            <w:tcBorders>
              <w:top w:val="nil"/>
            </w:tcBorders>
          </w:tcPr>
          <w:p>
            <w:pPr>
              <w:pStyle w:val="Normal"/>
              <w:widowControl/>
              <w:spacing w:lineRule="exact" w:line="240" w:before="0" w:after="0"/>
              <w:ind w:firstLine="175"/>
              <w:jc w:val="both"/>
              <w:rPr>
                <w:rFonts w:ascii="Times New Roman" w:hAnsi="Times New Roman" w:eastAsia="Calibri" w:cs="Times New Roman"/>
                <w:spacing w:val="-2"/>
                <w:kern w:val="0"/>
                <w:sz w:val="24"/>
                <w:szCs w:val="24"/>
                <w:highlight w:val="none"/>
                <w:shd w:fill="FFFF00" w:val="clear"/>
                <w:lang w:val="ru-RU" w:eastAsia="ru-RU" w:bidi="ar-SA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В Администрации Президента Российской Федерации председателем комиссии может быть назначено должностное лицо Администрации Президента Российской Федерации, не являющееся заместителем руководителя государственного органа.</w:t>
            </w:r>
          </w:p>
        </w:tc>
        <w:tc>
          <w:tcPr>
            <w:tcW w:w="216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exact" w:line="240" w:before="0"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</w:r>
          </w:p>
        </w:tc>
      </w:tr>
    </w:tbl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8"/>
        </w:rPr>
      </w:pPr>
      <w:r>
        <w:rPr/>
      </w:r>
    </w:p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8"/>
        </w:rPr>
      </w:pPr>
      <w:r>
        <w:rPr/>
      </w:r>
    </w:p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8"/>
        </w:rPr>
      </w:pPr>
      <w:r>
        <w:rPr/>
      </w:r>
    </w:p>
    <w:p>
      <w:pPr>
        <w:pStyle w:val="Normal"/>
        <w:spacing w:lineRule="exact" w:line="260" w:before="0" w:after="0"/>
        <w:jc w:val="center"/>
        <w:rPr/>
      </w:pPr>
      <w:r>
        <w:rPr>
          <w:rFonts w:cs="Times New Roman" w:ascii="Times New Roman" w:hAnsi="Times New Roman"/>
          <w:b/>
          <w:sz w:val="28"/>
        </w:rPr>
        <w:t xml:space="preserve">В </w:t>
      </w:r>
      <w:r>
        <w:rPr>
          <w:rFonts w:cs="Times New Roman" w:ascii="Times New Roman" w:hAnsi="Times New Roman"/>
          <w:b/>
          <w:sz w:val="28"/>
        </w:rPr>
        <w:t>регионально</w:t>
      </w:r>
      <w:r>
        <w:rPr>
          <w:rFonts w:cs="Times New Roman" w:ascii="Times New Roman" w:hAnsi="Times New Roman"/>
          <w:b/>
          <w:sz w:val="28"/>
        </w:rPr>
        <w:t>е</w:t>
      </w:r>
      <w:r>
        <w:rPr>
          <w:rFonts w:cs="Times New Roman" w:ascii="Times New Roman" w:hAnsi="Times New Roman"/>
          <w:b/>
          <w:sz w:val="28"/>
        </w:rPr>
        <w:t xml:space="preserve"> законодательств</w:t>
      </w:r>
      <w:r>
        <w:rPr>
          <w:rFonts w:cs="Times New Roman" w:ascii="Times New Roman" w:hAnsi="Times New Roman"/>
          <w:b/>
          <w:sz w:val="28"/>
        </w:rPr>
        <w:t>о</w:t>
      </w:r>
      <w:r>
        <w:rPr>
          <w:rFonts w:cs="Times New Roman" w:ascii="Times New Roman" w:hAnsi="Times New Roman"/>
          <w:b/>
          <w:sz w:val="28"/>
        </w:rPr>
        <w:t xml:space="preserve"> </w:t>
      </w:r>
      <w:r>
        <w:rPr>
          <w:rFonts w:cs="Times New Roman" w:ascii="Times New Roman" w:hAnsi="Times New Roman"/>
          <w:b/>
          <w:sz w:val="28"/>
        </w:rPr>
        <w:t>в</w:t>
      </w:r>
      <w:r>
        <w:rPr>
          <w:rFonts w:cs="Times New Roman" w:ascii="Times New Roman" w:hAnsi="Times New Roman"/>
          <w:b/>
          <w:sz w:val="28"/>
        </w:rPr>
        <w:t xml:space="preserve"> сфере противодействия коррупции </w:t>
        <w:br/>
      </w:r>
      <w:r>
        <w:rPr>
          <w:rFonts w:cs="Times New Roman" w:ascii="Times New Roman" w:hAnsi="Times New Roman"/>
          <w:b/>
          <w:sz w:val="28"/>
        </w:rPr>
        <w:t xml:space="preserve">в период </w:t>
      </w:r>
      <w:r>
        <w:rPr>
          <w:rFonts w:cs="Times New Roman" w:ascii="Times New Roman" w:hAnsi="Times New Roman"/>
          <w:b/>
          <w:sz w:val="28"/>
        </w:rPr>
        <w:t xml:space="preserve">с 1 </w:t>
      </w:r>
      <w:r>
        <w:rPr>
          <w:rFonts w:cs="Times New Roman" w:ascii="Times New Roman" w:hAnsi="Times New Roman"/>
          <w:b/>
          <w:sz w:val="28"/>
        </w:rPr>
        <w:t>июля</w:t>
      </w:r>
      <w:r>
        <w:rPr>
          <w:rFonts w:cs="Times New Roman" w:ascii="Times New Roman" w:hAnsi="Times New Roman"/>
          <w:b/>
          <w:sz w:val="28"/>
        </w:rPr>
        <w:t xml:space="preserve"> по 30 </w:t>
      </w:r>
      <w:r>
        <w:rPr>
          <w:rFonts w:cs="Times New Roman" w:ascii="Times New Roman" w:hAnsi="Times New Roman"/>
          <w:b/>
          <w:sz w:val="28"/>
        </w:rPr>
        <w:t>сентября</w:t>
      </w:r>
      <w:r>
        <w:rPr>
          <w:rFonts w:cs="Times New Roman" w:ascii="Times New Roman" w:hAnsi="Times New Roman"/>
          <w:b/>
          <w:sz w:val="28"/>
        </w:rPr>
        <w:t xml:space="preserve"> 2025 г. </w:t>
        <w:br/>
      </w:r>
      <w:r>
        <w:rPr>
          <w:rFonts w:cs="Times New Roman" w:ascii="Times New Roman" w:hAnsi="Times New Roman"/>
          <w:b/>
          <w:sz w:val="28"/>
        </w:rPr>
        <w:t>и</w:t>
      </w:r>
      <w:r>
        <w:rPr>
          <w:rFonts w:cs="Times New Roman" w:ascii="Times New Roman" w:hAnsi="Times New Roman"/>
          <w:b/>
          <w:sz w:val="28"/>
        </w:rPr>
        <w:t>зменени</w:t>
      </w:r>
      <w:r>
        <w:rPr>
          <w:rFonts w:cs="Times New Roman" w:ascii="Times New Roman" w:hAnsi="Times New Roman"/>
          <w:b/>
          <w:sz w:val="28"/>
        </w:rPr>
        <w:t>я не вносились.</w:t>
      </w:r>
    </w:p>
    <w:p>
      <w:pPr>
        <w:pStyle w:val="Normal"/>
        <w:spacing w:lineRule="exact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sectPr>
      <w:type w:val="nextPage"/>
      <w:pgSz w:orient="landscape" w:w="16838" w:h="11906"/>
      <w:pgMar w:left="1134" w:right="1134" w:gutter="0" w:header="0" w:top="709" w:footer="0" w:bottom="113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f1d7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0e05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f4fc6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f4fc6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2f4fc6"/>
    <w:rPr>
      <w:b/>
      <w:bCs/>
      <w:sz w:val="20"/>
      <w:szCs w:val="20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8c64ab"/>
    <w:rPr>
      <w:sz w:val="20"/>
      <w:szCs w:val="20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8c64ab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be"/>
    <w:rPr>
      <w:color w:themeColor="hyperlink" w:val="0563C1"/>
      <w:u w:val="single"/>
    </w:rPr>
  </w:style>
  <w:style w:type="character" w:styleId="Style19" w:customStyle="1">
    <w:name w:val="Основной текст Знак"/>
    <w:basedOn w:val="DefaultParagraphFont"/>
    <w:qFormat/>
    <w:rsid w:val="00c02076"/>
    <w:rPr>
      <w:rFonts w:ascii="Times New Roman" w:hAnsi="Times New Roman" w:eastAsia="Times New Roman" w:cs="Times New Roman"/>
      <w:sz w:val="28"/>
      <w:szCs w:val="24"/>
    </w:rPr>
  </w:style>
  <w:style w:type="character" w:styleId="Style20" w:customStyle="1">
    <w:name w:val="Текст концевой сноски Знак"/>
    <w:basedOn w:val="DefaultParagraphFont"/>
    <w:uiPriority w:val="99"/>
    <w:semiHidden/>
    <w:qFormat/>
    <w:rsid w:val="002f5302"/>
    <w:rPr>
      <w:sz w:val="20"/>
      <w:szCs w:val="20"/>
    </w:rPr>
  </w:style>
  <w:style w:type="character" w:styleId="Style21">
    <w:name w:val="Символ концевой сноски"/>
    <w:basedOn w:val="DefaultParagraphFont"/>
    <w:uiPriority w:val="99"/>
    <w:semiHidden/>
    <w:unhideWhenUsed/>
    <w:qFormat/>
    <w:rsid w:val="002f5302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link w:val="Style19"/>
    <w:rsid w:val="00c02076"/>
    <w:pPr>
      <w:spacing w:lineRule="exact" w:line="360" w:before="0" w:after="0"/>
      <w:ind w:firstLine="709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0e05f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485c"/>
    <w:pPr>
      <w:spacing w:before="0" w:after="160"/>
      <w:ind w:left="720"/>
      <w:contextualSpacing/>
    </w:pPr>
    <w:rPr/>
  </w:style>
  <w:style w:type="paragraph" w:styleId="CommentText">
    <w:name w:val="annotation text"/>
    <w:basedOn w:val="Normal"/>
    <w:link w:val="Style15"/>
    <w:uiPriority w:val="99"/>
    <w:semiHidden/>
    <w:unhideWhenUsed/>
    <w:rsid w:val="002f4fc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2f4fc6"/>
    <w:pPr/>
    <w:rPr>
      <w:b/>
      <w:bCs/>
    </w:rPr>
  </w:style>
  <w:style w:type="paragraph" w:styleId="FootnoteText">
    <w:name w:val="footnote text"/>
    <w:basedOn w:val="Normal"/>
    <w:link w:val="Style17"/>
    <w:uiPriority w:val="99"/>
    <w:semiHidden/>
    <w:unhideWhenUsed/>
    <w:rsid w:val="008c64ab"/>
    <w:pPr>
      <w:spacing w:lineRule="auto" w:line="240" w:before="0" w:after="0"/>
    </w:pPr>
    <w:rPr>
      <w:sz w:val="20"/>
      <w:szCs w:val="20"/>
    </w:rPr>
  </w:style>
  <w:style w:type="paragraph" w:styleId="ConsPlusNormal" w:customStyle="1">
    <w:name w:val="ConsPlusNormal"/>
    <w:qFormat/>
    <w:rsid w:val="003f4396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EndnoteText">
    <w:name w:val="endnote text"/>
    <w:basedOn w:val="Normal"/>
    <w:link w:val="Style20"/>
    <w:uiPriority w:val="99"/>
    <w:semiHidden/>
    <w:unhideWhenUsed/>
    <w:rsid w:val="002f5302"/>
    <w:pPr>
      <w:spacing w:lineRule="auto" w:line="240" w:before="0" w:after="0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d725f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977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703e78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E4DC5-5B2F-4A5A-8B4E-35089A75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Application>LibreOffice/24.8.4.1$Linux_X86_64 LibreOffice_project/480$Build-1</Application>
  <AppVersion>15.0000</AppVersion>
  <Pages>3</Pages>
  <Words>717</Words>
  <Characters>5772</Characters>
  <CharactersWithSpaces>6481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2025-01-13T02:55:00Z</dcterms:created>
  <dc:creator>Попов Максим Сергеевич</dc:creator>
  <dc:description/>
  <dc:language>ru-RU</dc:language>
  <cp:lastModifiedBy/>
  <cp:lastPrinted>2017-09-10T05:16:00Z</cp:lastPrinted>
  <dcterms:modified xsi:type="dcterms:W3CDTF">2025-10-13T11:06:26Z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