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2"/>
              </w:rPr>
              <w:t xml:space="preserve">Постановление Правительства РФ от 30.04.2019 N 537</w:t>
              <w:br/>
              <w:t xml:space="preserve">(ред. от 09.04.2022)</w:t>
              <w:br/>
              <w:t xml:space="preserve">"О мерах государственной поддержки научно-образовательных центров мирового уровня на основе интеграции образовательных организаций высшего образования и научных организаций и их кооперации с организациями, действующими в реальном секторе экономики"</w:t>
              <w:br/>
              <w:t xml:space="preserve">(вместе с "Правилами предоставления грантов в форме субсидий из федерального бюджета на оказание государственной поддержки научно-образовательных центров мирового уровня на основе интеграции образовательных организаций высшего образования и научных организаций и их кооперации с организациями, действующими в реальном секторе экономики")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28.09.2022</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РОССИЙСКОЙ ФЕДЕРАЦИИ</w:t>
      </w:r>
    </w:p>
    <w:p>
      <w:pPr>
        <w:pStyle w:val="2"/>
        <w:jc w:val="both"/>
      </w:pPr>
      <w:r>
        <w:rPr>
          <w:sz w:val="20"/>
        </w:rPr>
      </w:r>
    </w:p>
    <w:p>
      <w:pPr>
        <w:pStyle w:val="2"/>
        <w:jc w:val="center"/>
      </w:pPr>
      <w:r>
        <w:rPr>
          <w:sz w:val="20"/>
        </w:rPr>
        <w:t xml:space="preserve">ПОСТАНОВЛЕНИЕ</w:t>
      </w:r>
    </w:p>
    <w:p>
      <w:pPr>
        <w:pStyle w:val="2"/>
        <w:jc w:val="center"/>
      </w:pPr>
      <w:r>
        <w:rPr>
          <w:sz w:val="20"/>
        </w:rPr>
        <w:t xml:space="preserve">от 30 апреля 2019 г. N 537</w:t>
      </w:r>
    </w:p>
    <w:p>
      <w:pPr>
        <w:pStyle w:val="2"/>
        <w:jc w:val="both"/>
      </w:pPr>
      <w:r>
        <w:rPr>
          <w:sz w:val="20"/>
        </w:rPr>
      </w:r>
    </w:p>
    <w:p>
      <w:pPr>
        <w:pStyle w:val="2"/>
        <w:jc w:val="center"/>
      </w:pPr>
      <w:r>
        <w:rPr>
          <w:sz w:val="20"/>
        </w:rPr>
        <w:t xml:space="preserve">О МЕРАХ</w:t>
      </w:r>
    </w:p>
    <w:p>
      <w:pPr>
        <w:pStyle w:val="2"/>
        <w:jc w:val="center"/>
      </w:pPr>
      <w:r>
        <w:rPr>
          <w:sz w:val="20"/>
        </w:rPr>
        <w:t xml:space="preserve">ГОСУДАРСТВЕННОЙ ПОДДЕРЖКИ НАУЧНО-ОБРАЗОВАТЕЛЬНЫХ ЦЕНТРОВ</w:t>
      </w:r>
    </w:p>
    <w:p>
      <w:pPr>
        <w:pStyle w:val="2"/>
        <w:jc w:val="center"/>
      </w:pPr>
      <w:r>
        <w:rPr>
          <w:sz w:val="20"/>
        </w:rPr>
        <w:t xml:space="preserve">МИРОВОГО УРОВНЯ НА ОСНОВЕ ИНТЕГРАЦИИ ОБРАЗОВАТЕЛЬНЫХ</w:t>
      </w:r>
    </w:p>
    <w:p>
      <w:pPr>
        <w:pStyle w:val="2"/>
        <w:jc w:val="center"/>
      </w:pPr>
      <w:r>
        <w:rPr>
          <w:sz w:val="20"/>
        </w:rPr>
        <w:t xml:space="preserve">ОРГАНИЗАЦИЙ ВЫСШЕГО ОБРАЗОВАНИЯ И НАУЧНЫХ ОРГАНИЗАЦИЙ</w:t>
      </w:r>
    </w:p>
    <w:p>
      <w:pPr>
        <w:pStyle w:val="2"/>
        <w:jc w:val="center"/>
      </w:pPr>
      <w:r>
        <w:rPr>
          <w:sz w:val="20"/>
        </w:rPr>
        <w:t xml:space="preserve">И ИХ КООПЕРАЦИИ С ОРГАНИЗАЦИЯМИ, ДЕЙСТВУЮЩИМИ</w:t>
      </w:r>
    </w:p>
    <w:p>
      <w:pPr>
        <w:pStyle w:val="2"/>
        <w:jc w:val="center"/>
      </w:pPr>
      <w:r>
        <w:rPr>
          <w:sz w:val="20"/>
        </w:rPr>
        <w:t xml:space="preserve">В РЕАЛЬНОМ СЕКТОРЕ ЭКОНОМИКИ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РФ от 20.07.2019 </w:t>
            </w:r>
            <w:hyperlink w:history="0" r:id="rId7" w:tooltip="Постановление Правительства РФ от 20.07.2019 N 945 (ред. от 09.04.2022) &quot;О Совете научно-образовательных центров мирового уровня&quot; (вместе с &quot;Положением о Совете научно-образовательных центров мирового уровня&quot;) {КонсультантПлюс}">
              <w:r>
                <w:rPr>
                  <w:sz w:val="20"/>
                  <w:color w:val="0000ff"/>
                </w:rPr>
                <w:t xml:space="preserve">N 945</w:t>
              </w:r>
            </w:hyperlink>
            <w:r>
              <w:rPr>
                <w:sz w:val="20"/>
                <w:color w:val="392c69"/>
              </w:rPr>
              <w:t xml:space="preserve">,</w:t>
            </w:r>
          </w:p>
          <w:p>
            <w:pPr>
              <w:pStyle w:val="0"/>
              <w:jc w:val="center"/>
            </w:pPr>
            <w:r>
              <w:rPr>
                <w:sz w:val="20"/>
                <w:color w:val="392c69"/>
              </w:rPr>
              <w:t xml:space="preserve">от 28.01.2020 </w:t>
            </w:r>
            <w:hyperlink w:history="0" r:id="rId8" w:tooltip="Постановление Правительства РФ от 28.01.2020 N 59 (ред. от 16.03.2022) &quot;О внесении изменений в некоторые акты Правительства Российской Федерации&quot; {КонсультантПлюс}">
              <w:r>
                <w:rPr>
                  <w:sz w:val="20"/>
                  <w:color w:val="0000ff"/>
                </w:rPr>
                <w:t xml:space="preserve">N 59</w:t>
              </w:r>
            </w:hyperlink>
            <w:r>
              <w:rPr>
                <w:sz w:val="20"/>
                <w:color w:val="392c69"/>
              </w:rPr>
              <w:t xml:space="preserve">, от 12.10.2020 </w:t>
            </w:r>
            <w:hyperlink w:history="0" r:id="rId9" w:tooltip="Постановление Правительства РФ от 12.10.2020 N 1669 &quot;О внесении изменения в пункт 14 Правил предоставления грантов в форме субсидий из федерального бюджета на оказание государственной поддержки научно-образовательных центров мирового уровня на основе интеграции образовательных организаций высшего образования и научных организаций и их кооперации с организациями, действующими в реальном секторе экономики&quot; {КонсультантПлюс}">
              <w:r>
                <w:rPr>
                  <w:sz w:val="20"/>
                  <w:color w:val="0000ff"/>
                </w:rPr>
                <w:t xml:space="preserve">N 1669</w:t>
              </w:r>
            </w:hyperlink>
            <w:r>
              <w:rPr>
                <w:sz w:val="20"/>
                <w:color w:val="392c69"/>
              </w:rPr>
              <w:t xml:space="preserve">, от 03.04.2021 </w:t>
            </w:r>
            <w:hyperlink w:history="0" r:id="rId10" w:tooltip="Постановление Правительства РФ от 03.04.2021 N 539 &quot;О внесении изменений в Правила предоставления грантов в форме субсидий из федерального бюджета на оказание государственной поддержки научно-образовательных центров мирового уровня на основе интеграции образовательных организаций высшего образования и научных организаций и их кооперации с организациями, действующими в реальном секторе экономики&quot; {КонсультантПлюс}">
              <w:r>
                <w:rPr>
                  <w:sz w:val="20"/>
                  <w:color w:val="0000ff"/>
                </w:rPr>
                <w:t xml:space="preserve">N 539</w:t>
              </w:r>
            </w:hyperlink>
            <w:r>
              <w:rPr>
                <w:sz w:val="20"/>
                <w:color w:val="392c69"/>
              </w:rPr>
              <w:t xml:space="preserve">,</w:t>
            </w:r>
          </w:p>
          <w:p>
            <w:pPr>
              <w:pStyle w:val="0"/>
              <w:jc w:val="center"/>
            </w:pPr>
            <w:r>
              <w:rPr>
                <w:sz w:val="20"/>
                <w:color w:val="392c69"/>
              </w:rPr>
              <w:t xml:space="preserve">от 09.04.2022 </w:t>
            </w:r>
            <w:hyperlink w:history="0" r:id="rId11" w:tooltip="Постановление Правительства РФ от 09.04.2022 N 634 &quot;О внесении изменений в некоторые акты Правительства Российской Федерации&quot; {КонсультантПлюс}">
              <w:r>
                <w:rPr>
                  <w:sz w:val="20"/>
                  <w:color w:val="0000ff"/>
                </w:rPr>
                <w:t xml:space="preserve">N 634</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Правительство Российской Федерации постановляет:</w:t>
      </w:r>
    </w:p>
    <w:p>
      <w:pPr>
        <w:pStyle w:val="0"/>
        <w:spacing w:before="200" w:line-rule="auto"/>
        <w:ind w:firstLine="540"/>
        <w:jc w:val="both"/>
      </w:pPr>
      <w:r>
        <w:rPr>
          <w:sz w:val="20"/>
        </w:rPr>
        <w:t xml:space="preserve">1. Утвердить прилагаемые </w:t>
      </w:r>
      <w:hyperlink w:history="0" w:anchor="P41" w:tooltip="ПРАВИЛА">
        <w:r>
          <w:rPr>
            <w:sz w:val="20"/>
            <w:color w:val="0000ff"/>
          </w:rPr>
          <w:t xml:space="preserve">Правила</w:t>
        </w:r>
      </w:hyperlink>
      <w:r>
        <w:rPr>
          <w:sz w:val="20"/>
        </w:rPr>
        <w:t xml:space="preserve"> предоставления грантов в форме субсидий из федерального бюджета на оказание государственной поддержки научно-образовательных центров мирового уровня на основе интеграции образовательных организаций высшего образования и научных организаций и их кооперации с организациями, действующими в реальном секторе экономики.</w:t>
      </w:r>
    </w:p>
    <w:bookmarkStart w:id="19" w:name="P19"/>
    <w:bookmarkEnd w:id="19"/>
    <w:p>
      <w:pPr>
        <w:pStyle w:val="0"/>
        <w:spacing w:before="200" w:line-rule="auto"/>
        <w:ind w:firstLine="540"/>
        <w:jc w:val="both"/>
      </w:pPr>
      <w:r>
        <w:rPr>
          <w:sz w:val="20"/>
        </w:rPr>
        <w:t xml:space="preserve">2. Установить, что в 2019 году без проведения конкурсного отбора определяются научно-образовательные центры мирового уровня, созданные в Пермском крае, Белгородской, Кемеровской, Нижегородской и Тюменской областях, в целях последующего оказания государственной поддержки научно-образовательных центров мирового уровня на основе интеграции образовательных организаций высшего образования и научных организаций и их кооперации с организациями, действующими в реальном секторе экономики, участникам указанных центров с учетом </w:t>
      </w:r>
      <w:hyperlink w:history="0" w:anchor="P21" w:tooltip="3. Установить, что предоставление грантов в форме субсидий из федерального бюджета на оказание государственной поддержки научно-образовательных центров мирового уровня на основе интеграции образовательных организаций высшего образования и научных организаций и их кооперации с организациями, действующими в реальном секторе экономики, участникам научно-образовательных центров мирового уровня, указанных в абзаце первом пункта 2 настоящего постановления, будет осуществлено по итогам рассмотрения не позднее 1...">
        <w:r>
          <w:rPr>
            <w:sz w:val="20"/>
            <w:color w:val="0000ff"/>
          </w:rPr>
          <w:t xml:space="preserve">пункта 3</w:t>
        </w:r>
      </w:hyperlink>
      <w:r>
        <w:rPr>
          <w:sz w:val="20"/>
        </w:rPr>
        <w:t xml:space="preserve"> настоящего постановления.</w:t>
      </w:r>
    </w:p>
    <w:p>
      <w:pPr>
        <w:pStyle w:val="0"/>
        <w:spacing w:before="200" w:line-rule="auto"/>
        <w:ind w:firstLine="540"/>
        <w:jc w:val="both"/>
      </w:pPr>
      <w:r>
        <w:rPr>
          <w:sz w:val="20"/>
        </w:rPr>
        <w:t xml:space="preserve">Инициаторы создания научно-образовательных центров мирового уровня, указанных в </w:t>
      </w:r>
      <w:hyperlink w:history="0" w:anchor="P19" w:tooltip="2. Установить, что в 2019 году без проведения конкурсного отбора определяются научно-образовательные центры мирового уровня, созданные в Пермском крае, Белгородской, Кемеровской, Нижегородской и Тюменской областях, в целях последующего оказания государственной поддержки научно-образовательных центров мирового уровня на основе интеграции образовательных организаций высшего образования и научных организаций и их кооперации с организациями, действующими в реальном секторе экономики, участникам указанных цен...">
        <w:r>
          <w:rPr>
            <w:sz w:val="20"/>
            <w:color w:val="0000ff"/>
          </w:rPr>
          <w:t xml:space="preserve">абзаце первом</w:t>
        </w:r>
      </w:hyperlink>
      <w:r>
        <w:rPr>
          <w:sz w:val="20"/>
        </w:rPr>
        <w:t xml:space="preserve"> настоящего пункта, представляют в Министерство науки и высшего образования Российской Федерации программы деятельности таких центров для рассмотрения Советом научно-образовательных центров мирового уровня.</w:t>
      </w:r>
    </w:p>
    <w:bookmarkStart w:id="21" w:name="P21"/>
    <w:bookmarkEnd w:id="21"/>
    <w:p>
      <w:pPr>
        <w:pStyle w:val="0"/>
        <w:spacing w:before="200" w:line-rule="auto"/>
        <w:ind w:firstLine="540"/>
        <w:jc w:val="both"/>
      </w:pPr>
      <w:r>
        <w:rPr>
          <w:sz w:val="20"/>
        </w:rPr>
        <w:t xml:space="preserve">3. Установить, что предоставление грантов в форме субсидий из федерального бюджета на оказание государственной поддержки научно-образовательных центров мирового уровня на основе интеграции образовательных организаций высшего образования и научных организаций и их кооперации с организациями, действующими в реальном секторе экономики, участникам научно-образовательных центров мирового уровня, указанных в </w:t>
      </w:r>
      <w:hyperlink w:history="0" w:anchor="P19" w:tooltip="2. Установить, что в 2019 году без проведения конкурсного отбора определяются научно-образовательные центры мирового уровня, созданные в Пермском крае, Белгородской, Кемеровской, Нижегородской и Тюменской областях, в целях последующего оказания государственной поддержки научно-образовательных центров мирового уровня на основе интеграции образовательных организаций высшего образования и научных организаций и их кооперации с организациями, действующими в реальном секторе экономики, участникам указанных цен...">
        <w:r>
          <w:rPr>
            <w:sz w:val="20"/>
            <w:color w:val="0000ff"/>
          </w:rPr>
          <w:t xml:space="preserve">абзаце первом пункта 2</w:t>
        </w:r>
      </w:hyperlink>
      <w:r>
        <w:rPr>
          <w:sz w:val="20"/>
        </w:rPr>
        <w:t xml:space="preserve"> настоящего постановления, будет осуществлено по итогам рассмотрения не позднее 1 июня 2020 г. Советом научно-образовательных центров мирового уровня результатов реализации их программ деятельности.</w:t>
      </w:r>
    </w:p>
    <w:p>
      <w:pPr>
        <w:pStyle w:val="0"/>
        <w:spacing w:before="200" w:line-rule="auto"/>
        <w:ind w:firstLine="540"/>
        <w:jc w:val="both"/>
      </w:pPr>
      <w:r>
        <w:rPr>
          <w:sz w:val="20"/>
        </w:rPr>
        <w:t xml:space="preserve">4. Министерству науки и высшего образования Российской Федерации:</w:t>
      </w:r>
    </w:p>
    <w:p>
      <w:pPr>
        <w:pStyle w:val="0"/>
        <w:spacing w:before="200" w:line-rule="auto"/>
        <w:ind w:firstLine="540"/>
        <w:jc w:val="both"/>
      </w:pPr>
      <w:r>
        <w:rPr>
          <w:sz w:val="20"/>
        </w:rPr>
        <w:t xml:space="preserve">а) в срок не позднее 30 рабочих дней со дня вступления в силу настоящего постановления в установленном порядке внести в Правительство Российской Федерации проекты актов Правительства Российской Федерации об образовании Совета научно-образовательных центров мирового уровня и утверждении его состава, а также об утверждении </w:t>
      </w:r>
      <w:hyperlink w:history="0" r:id="rId12" w:tooltip="Постановление Правительства РФ от 20.07.2019 N 945 (ред. от 09.04.2022) &quot;О Совете научно-образовательных центров мирового уровня&quot; (вместе с &quot;Положением о Совете научно-образовательных центров мирового уровня&quot;) {КонсультантПлюс}">
        <w:r>
          <w:rPr>
            <w:sz w:val="20"/>
            <w:color w:val="0000ff"/>
          </w:rPr>
          <w:t xml:space="preserve">положения</w:t>
        </w:r>
      </w:hyperlink>
      <w:r>
        <w:rPr>
          <w:sz w:val="20"/>
        </w:rPr>
        <w:t xml:space="preserve"> о Совете научно-образовательных центров мирового уровня;</w:t>
      </w:r>
    </w:p>
    <w:p>
      <w:pPr>
        <w:pStyle w:val="0"/>
        <w:spacing w:before="200" w:line-rule="auto"/>
        <w:ind w:firstLine="540"/>
        <w:jc w:val="both"/>
      </w:pPr>
      <w:r>
        <w:rPr>
          <w:sz w:val="20"/>
        </w:rPr>
        <w:t xml:space="preserve">б) совместно с Советом научно-образовательных центров мирового уровня проводить ежегодно в 2020 и 2021 годах конкурсные отборы научно-образовательных центров мирового уровня в целях последующего оказания государственной поддержки научно-образовательных центров мирового уровня на основе интеграции образовательных организаций высшего образования и научных организаций и их кооперации с организациями, действующими в реальном секторе экономики, по результатам реализации в отчетном году программ деятельности указанных научно-образовательных центров мирового уровня;</w:t>
      </w:r>
    </w:p>
    <w:p>
      <w:pPr>
        <w:pStyle w:val="0"/>
        <w:spacing w:before="200" w:line-rule="auto"/>
        <w:ind w:firstLine="540"/>
        <w:jc w:val="both"/>
      </w:pPr>
      <w:r>
        <w:rPr>
          <w:sz w:val="20"/>
        </w:rPr>
        <w:t xml:space="preserve">в) осуществлять в соответствии с актами Правительства Российской Федерации в установленном порядке финансовое обеспечение выплаты грантов в форме субсидий из федерального бюджета на оказание государственной поддержки научно-образовательных центров мирового уровня на основе интеграции образовательных организаций высшего образования и научных организаций и их кооперации с организациями, действующими в реальном секторе экономики, в 2020 - 2024 годах за счет средств федерального бюджета, предусматриваемых указанному Министерству на эти цели.</w:t>
      </w:r>
    </w:p>
    <w:p>
      <w:pPr>
        <w:pStyle w:val="0"/>
        <w:spacing w:before="200" w:line-rule="auto"/>
        <w:ind w:firstLine="540"/>
        <w:jc w:val="both"/>
      </w:pPr>
      <w:r>
        <w:rPr>
          <w:sz w:val="20"/>
        </w:rPr>
        <w:t xml:space="preserve">5. Министерству финансов Российской Федерации обеспечить в 2020 - 2024 годах в установленном порядке направление ассигнований федерального бюджета Министерству науки и высшего образования Российской Федерации на оказание государственной поддержки научно-образовательных центров мирового уровня на основе интеграции образовательных организаций высшего образования и научных организаций и их кооперации с организациями, действующими в реальном секторе экономики, в пределах средств, предусмотренных в федеральном бюджете на указанные цели.</w:t>
      </w:r>
    </w:p>
    <w:p>
      <w:pPr>
        <w:pStyle w:val="0"/>
        <w:jc w:val="both"/>
      </w:pPr>
      <w:r>
        <w:rPr>
          <w:sz w:val="20"/>
        </w:rPr>
      </w:r>
    </w:p>
    <w:p>
      <w:pPr>
        <w:pStyle w:val="0"/>
        <w:jc w:val="right"/>
      </w:pPr>
      <w:r>
        <w:rPr>
          <w:sz w:val="20"/>
        </w:rPr>
        <w:t xml:space="preserve">Председатель Правительства</w:t>
      </w:r>
    </w:p>
    <w:p>
      <w:pPr>
        <w:pStyle w:val="0"/>
        <w:jc w:val="right"/>
      </w:pPr>
      <w:r>
        <w:rPr>
          <w:sz w:val="20"/>
        </w:rPr>
        <w:t xml:space="preserve">Российской Федерации</w:t>
      </w:r>
    </w:p>
    <w:p>
      <w:pPr>
        <w:pStyle w:val="0"/>
        <w:jc w:val="right"/>
      </w:pPr>
      <w:r>
        <w:rPr>
          <w:sz w:val="20"/>
        </w:rPr>
        <w:t xml:space="preserve">Д.МЕДВЕДЕВ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Утверждены</w:t>
      </w:r>
    </w:p>
    <w:p>
      <w:pPr>
        <w:pStyle w:val="0"/>
        <w:jc w:val="right"/>
      </w:pPr>
      <w:r>
        <w:rPr>
          <w:sz w:val="20"/>
        </w:rPr>
        <w:t xml:space="preserve">постановлением Правительства</w:t>
      </w:r>
    </w:p>
    <w:p>
      <w:pPr>
        <w:pStyle w:val="0"/>
        <w:jc w:val="right"/>
      </w:pPr>
      <w:r>
        <w:rPr>
          <w:sz w:val="20"/>
        </w:rPr>
        <w:t xml:space="preserve">Российской Федерации</w:t>
      </w:r>
    </w:p>
    <w:p>
      <w:pPr>
        <w:pStyle w:val="0"/>
        <w:jc w:val="right"/>
      </w:pPr>
      <w:r>
        <w:rPr>
          <w:sz w:val="20"/>
        </w:rPr>
        <w:t xml:space="preserve">от 30 апреля 2019 г. N 537</w:t>
      </w:r>
    </w:p>
    <w:p>
      <w:pPr>
        <w:pStyle w:val="0"/>
        <w:jc w:val="both"/>
      </w:pPr>
      <w:r>
        <w:rPr>
          <w:sz w:val="20"/>
        </w:rPr>
      </w:r>
    </w:p>
    <w:bookmarkStart w:id="41" w:name="P41"/>
    <w:bookmarkEnd w:id="41"/>
    <w:p>
      <w:pPr>
        <w:pStyle w:val="2"/>
        <w:jc w:val="center"/>
      </w:pPr>
      <w:r>
        <w:rPr>
          <w:sz w:val="20"/>
        </w:rPr>
        <w:t xml:space="preserve">ПРАВИЛА</w:t>
      </w:r>
    </w:p>
    <w:p>
      <w:pPr>
        <w:pStyle w:val="2"/>
        <w:jc w:val="center"/>
      </w:pPr>
      <w:r>
        <w:rPr>
          <w:sz w:val="20"/>
        </w:rPr>
        <w:t xml:space="preserve">ПРЕДОСТАВЛЕНИЯ ГРАНТОВ В ФОРМЕ СУБСИДИЙ ИЗ ФЕДЕРАЛЬНОГО</w:t>
      </w:r>
    </w:p>
    <w:p>
      <w:pPr>
        <w:pStyle w:val="2"/>
        <w:jc w:val="center"/>
      </w:pPr>
      <w:r>
        <w:rPr>
          <w:sz w:val="20"/>
        </w:rPr>
        <w:t xml:space="preserve">БЮДЖЕТА НА ОКАЗАНИЕ ГОСУДАРСТВЕННОЙ ПОДДЕРЖКИ</w:t>
      </w:r>
    </w:p>
    <w:p>
      <w:pPr>
        <w:pStyle w:val="2"/>
        <w:jc w:val="center"/>
      </w:pPr>
      <w:r>
        <w:rPr>
          <w:sz w:val="20"/>
        </w:rPr>
        <w:t xml:space="preserve">НАУЧНО-ОБРАЗОВАТЕЛЬНЫХ ЦЕНТРОВ МИРОВОГО УРОВНЯ НА ОСНОВЕ</w:t>
      </w:r>
    </w:p>
    <w:p>
      <w:pPr>
        <w:pStyle w:val="2"/>
        <w:jc w:val="center"/>
      </w:pPr>
      <w:r>
        <w:rPr>
          <w:sz w:val="20"/>
        </w:rPr>
        <w:t xml:space="preserve">ИНТЕГРАЦИИ ОБРАЗОВАТЕЛЬНЫХ ОРГАНИЗАЦИЙ ВЫСШЕГО ОБРАЗОВАНИЯ</w:t>
      </w:r>
    </w:p>
    <w:p>
      <w:pPr>
        <w:pStyle w:val="2"/>
        <w:jc w:val="center"/>
      </w:pPr>
      <w:r>
        <w:rPr>
          <w:sz w:val="20"/>
        </w:rPr>
        <w:t xml:space="preserve">И НАУЧНЫХ ОРГАНИЗАЦИЙ И ИХ КООПЕРАЦИИ С ОРГАНИЗАЦИЯМИ,</w:t>
      </w:r>
    </w:p>
    <w:p>
      <w:pPr>
        <w:pStyle w:val="2"/>
        <w:jc w:val="center"/>
      </w:pPr>
      <w:r>
        <w:rPr>
          <w:sz w:val="20"/>
        </w:rPr>
        <w:t xml:space="preserve">ДЕЙСТВУЮЩИМИ В РЕАЛЬНОМ СЕКТОРЕ ЭКОНОМИКИ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РФ от 03.04.2021 </w:t>
            </w:r>
            <w:hyperlink w:history="0" r:id="rId13" w:tooltip="Постановление Правительства РФ от 03.04.2021 N 539 &quot;О внесении изменений в Правила предоставления грантов в форме субсидий из федерального бюджета на оказание государственной поддержки научно-образовательных центров мирового уровня на основе интеграции образовательных организаций высшего образования и научных организаций и их кооперации с организациями, действующими в реальном секторе экономики&quot; {КонсультантПлюс}">
              <w:r>
                <w:rPr>
                  <w:sz w:val="20"/>
                  <w:color w:val="0000ff"/>
                </w:rPr>
                <w:t xml:space="preserve">N 539</w:t>
              </w:r>
            </w:hyperlink>
            <w:r>
              <w:rPr>
                <w:sz w:val="20"/>
                <w:color w:val="392c69"/>
              </w:rPr>
              <w:t xml:space="preserve">,</w:t>
            </w:r>
          </w:p>
          <w:p>
            <w:pPr>
              <w:pStyle w:val="0"/>
              <w:jc w:val="center"/>
            </w:pPr>
            <w:r>
              <w:rPr>
                <w:sz w:val="20"/>
                <w:color w:val="392c69"/>
              </w:rPr>
              <w:t xml:space="preserve">от 09.04.2022 </w:t>
            </w:r>
            <w:hyperlink w:history="0" r:id="rId14" w:tooltip="Постановление Правительства РФ от 09.04.2022 N 634 &quot;О внесении изменений в некоторые акты Правительства Российской Федерации&quot; {КонсультантПлюс}">
              <w:r>
                <w:rPr>
                  <w:sz w:val="20"/>
                  <w:color w:val="0000ff"/>
                </w:rPr>
                <w:t xml:space="preserve">N 634</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bookmarkStart w:id="52" w:name="P52"/>
    <w:bookmarkEnd w:id="52"/>
    <w:p>
      <w:pPr>
        <w:pStyle w:val="0"/>
        <w:ind w:firstLine="540"/>
        <w:jc w:val="both"/>
      </w:pPr>
      <w:r>
        <w:rPr>
          <w:sz w:val="20"/>
        </w:rPr>
        <w:t xml:space="preserve">1. Настоящие Правила устанавливают цели, условия и порядок предоставления грантов в форме субсидий из федерального бюджета на оказание государственной поддержки научно-образовательных центров мирового уровня на основе интеграции образовательных организаций высшего образования и научных организаций и их кооперации с организациями, действующими в реальном секторе экономики, в рамках федерального проекта "Развитие интеграционных процессов в сфере науки, высшего образования и индустрии" национального проекта "Наука и университеты" (далее - грант).</w:t>
      </w:r>
    </w:p>
    <w:p>
      <w:pPr>
        <w:pStyle w:val="0"/>
        <w:spacing w:before="200" w:line-rule="auto"/>
        <w:ind w:firstLine="540"/>
        <w:jc w:val="both"/>
      </w:pPr>
      <w:r>
        <w:rPr>
          <w:sz w:val="20"/>
        </w:rPr>
        <w:t xml:space="preserve">Сведения о грантах подлежат размещению на едином портале бюджетной системы Российской Федерации в информационно-телекоммуникационной сети "Интернет" (далее соответственно - единый портал, сеть "Интернет") (в разделе единого портала) при формировании проекта федерального закона о федеральном бюджете (проекта федерального закона о внесении изменений в федеральный закон о федеральном бюджете).</w:t>
      </w:r>
    </w:p>
    <w:p>
      <w:pPr>
        <w:pStyle w:val="0"/>
        <w:spacing w:before="200" w:line-rule="auto"/>
        <w:ind w:firstLine="540"/>
        <w:jc w:val="both"/>
      </w:pPr>
      <w:r>
        <w:rPr>
          <w:sz w:val="20"/>
        </w:rPr>
        <w:t xml:space="preserve">Сведения о грантах включаются в размещаемый на едином портале реестр субсидий, формирование и ведение которого осуществляется Министерством финансов Российской Федерации в установленном им порядке.</w:t>
      </w:r>
    </w:p>
    <w:p>
      <w:pPr>
        <w:pStyle w:val="0"/>
        <w:jc w:val="both"/>
      </w:pPr>
      <w:r>
        <w:rPr>
          <w:sz w:val="20"/>
        </w:rPr>
        <w:t xml:space="preserve">(абзац введен </w:t>
      </w:r>
      <w:hyperlink w:history="0" r:id="rId15" w:tooltip="Постановление Правительства РФ от 09.04.2022 N 634 &quot;О внесении изменений в некоторые акты Правительства Российской Федерации&quot; {КонсультантПлюс}">
        <w:r>
          <w:rPr>
            <w:sz w:val="20"/>
            <w:color w:val="0000ff"/>
          </w:rPr>
          <w:t xml:space="preserve">Постановлением</w:t>
        </w:r>
      </w:hyperlink>
      <w:r>
        <w:rPr>
          <w:sz w:val="20"/>
        </w:rPr>
        <w:t xml:space="preserve"> Правительства РФ от 09.04.2022 N 634)</w:t>
      </w:r>
    </w:p>
    <w:p>
      <w:pPr>
        <w:pStyle w:val="0"/>
        <w:spacing w:before="200" w:line-rule="auto"/>
        <w:ind w:firstLine="540"/>
        <w:jc w:val="both"/>
      </w:pPr>
      <w:r>
        <w:rPr>
          <w:sz w:val="20"/>
        </w:rPr>
        <w:t xml:space="preserve">2. Используемые в настоящих Правилах понятия означают следующее:</w:t>
      </w:r>
    </w:p>
    <w:p>
      <w:pPr>
        <w:pStyle w:val="0"/>
        <w:spacing w:before="200" w:line-rule="auto"/>
        <w:ind w:firstLine="540"/>
        <w:jc w:val="both"/>
      </w:pPr>
      <w:r>
        <w:rPr>
          <w:sz w:val="20"/>
        </w:rPr>
        <w:t xml:space="preserve">"инициатор создания центра" - субъект Российской Федерации, разрабатывающий совместно с организацией, осуществляющей образовательную деятельность по образовательным программам высшего образования и дополнительным профессиональным программам, и (или) научной организацией программу деятельности центра и представляющий ее на конкурс на получение гранта (далее - конкурс);</w:t>
      </w:r>
    </w:p>
    <w:p>
      <w:pPr>
        <w:pStyle w:val="0"/>
        <w:jc w:val="both"/>
      </w:pPr>
      <w:r>
        <w:rPr>
          <w:sz w:val="20"/>
        </w:rPr>
        <w:t xml:space="preserve">(в ред. </w:t>
      </w:r>
      <w:hyperlink w:history="0" r:id="rId16" w:tooltip="Постановление Правительства РФ от 09.04.2022 N 63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09.04.2022 N 634)</w:t>
      </w:r>
    </w:p>
    <w:p>
      <w:pPr>
        <w:pStyle w:val="0"/>
        <w:spacing w:before="200" w:line-rule="auto"/>
        <w:ind w:firstLine="540"/>
        <w:jc w:val="both"/>
      </w:pPr>
      <w:r>
        <w:rPr>
          <w:sz w:val="20"/>
        </w:rPr>
        <w:t xml:space="preserve">"конкурсная комиссия" - комиссия, созданная при Министерстве науки и высшего образования Российской Федерации в целях проведения конкурса и рассмотрения предложений по внесению изменений в программы деятельности центров и в состав участников центра;</w:t>
      </w:r>
    </w:p>
    <w:p>
      <w:pPr>
        <w:pStyle w:val="0"/>
        <w:jc w:val="both"/>
      </w:pPr>
      <w:r>
        <w:rPr>
          <w:sz w:val="20"/>
        </w:rPr>
        <w:t xml:space="preserve">(абзац введен </w:t>
      </w:r>
      <w:hyperlink w:history="0" r:id="rId17" w:tooltip="Постановление Правительства РФ от 09.04.2022 N 634 &quot;О внесении изменений в некоторые акты Правительства Российской Федерации&quot; {КонсультантПлюс}">
        <w:r>
          <w:rPr>
            <w:sz w:val="20"/>
            <w:color w:val="0000ff"/>
          </w:rPr>
          <w:t xml:space="preserve">Постановлением</w:t>
        </w:r>
      </w:hyperlink>
      <w:r>
        <w:rPr>
          <w:sz w:val="20"/>
        </w:rPr>
        <w:t xml:space="preserve"> Правительства РФ от 09.04.2022 N 634)</w:t>
      </w:r>
    </w:p>
    <w:p>
      <w:pPr>
        <w:pStyle w:val="0"/>
        <w:spacing w:before="200" w:line-rule="auto"/>
        <w:ind w:firstLine="540"/>
        <w:jc w:val="both"/>
      </w:pPr>
      <w:r>
        <w:rPr>
          <w:sz w:val="20"/>
        </w:rPr>
        <w:t xml:space="preserve">"наблюдательный совет центра" - коллегиальный совещательный орган управления центром, образованный по решению высших должностных лиц субъектов Российской Федерации, на территориях которых осуществляют деятельность участники центра для осуществления общего руководства деятельностью центра и определения программы его деятельности. Состав наблюдательного совета центра формируется из числа представителей федеральных органов исполнительной власти и органов государственной власти субъектов Российской Федерации, осуществляющих деятельность на территории субъекта Российской Федерации, в котором создан центр, организаций реального сектора экономики, организаций, осуществляющих образовательную деятельность по образовательным программам высшего образования и дополнительным профессиональным программам, и научных организаций. Руководство наблюдательным советом центра осуществляет высшее должностное лицо субъекта Российской Федерации - инициатора создания центра;</w:t>
      </w:r>
    </w:p>
    <w:p>
      <w:pPr>
        <w:pStyle w:val="0"/>
        <w:jc w:val="both"/>
      </w:pPr>
      <w:r>
        <w:rPr>
          <w:sz w:val="20"/>
        </w:rPr>
        <w:t xml:space="preserve">(в ред. </w:t>
      </w:r>
      <w:hyperlink w:history="0" r:id="rId18" w:tooltip="Постановление Правительства РФ от 09.04.2022 N 63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09.04.2022 N 634)</w:t>
      </w:r>
    </w:p>
    <w:p>
      <w:pPr>
        <w:pStyle w:val="0"/>
        <w:spacing w:before="200" w:line-rule="auto"/>
        <w:ind w:firstLine="540"/>
        <w:jc w:val="both"/>
      </w:pPr>
      <w:r>
        <w:rPr>
          <w:sz w:val="20"/>
        </w:rPr>
        <w:t xml:space="preserve">"получатель гранта" - участник центра, являющийся некоммерческой организацией и определенный программой деятельности центра, который претендует на получение гранта или в отношении которого принято решение о предоставлении гранта;</w:t>
      </w:r>
    </w:p>
    <w:p>
      <w:pPr>
        <w:pStyle w:val="0"/>
        <w:spacing w:before="200" w:line-rule="auto"/>
        <w:ind w:firstLine="540"/>
        <w:jc w:val="both"/>
      </w:pPr>
      <w:r>
        <w:rPr>
          <w:sz w:val="20"/>
        </w:rPr>
        <w:t xml:space="preserve">"программа деятельности центра" - документ, содержащий совокупность мероприятий, направленных на достижение целей по обеспечению исследований и разработок мирового уровня, получение новых конкурентоспособных технологий и продуктов и их коммерциализацию, подготовку кадров для решения крупных научно-технологических задач в интересах развития отраслей науки и технологий по приоритетам научно-технологического развития Российской Федерации, включающих в том числе проведение научно-исследовательских и опытно-конструкторских работ, реализацию образовательных программ высшего образования, дополнительных профессиональных программ, а также перечень целевых индикаторов, перечень организаций, участвующих в реализации программы деятельности центра, с указанием их функций, сроки реализации и сведения о финансовом обеспечении программы;</w:t>
      </w:r>
    </w:p>
    <w:p>
      <w:pPr>
        <w:pStyle w:val="0"/>
        <w:spacing w:before="200" w:line-rule="auto"/>
        <w:ind w:firstLine="540"/>
        <w:jc w:val="both"/>
      </w:pPr>
      <w:r>
        <w:rPr>
          <w:sz w:val="20"/>
        </w:rPr>
        <w:t xml:space="preserve">"Совет научно-образовательных центров мирового уровня" - постоянно действующий межведомственный координационный орган, образованный для рассмотрения вопросов конкурса и координации деятельности центров в целях предоставления грантов, </w:t>
      </w:r>
      <w:hyperlink w:history="0" r:id="rId19" w:tooltip="Распоряжение Правительства РФ от 14.08.2019 N 1800-р (ред. от 13.07.2022) &lt;Об утверждении состава Совета научно-образовательных центров мирового уровня&gt; {КонсультантПлюс}">
        <w:r>
          <w:rPr>
            <w:sz w:val="20"/>
            <w:color w:val="0000ff"/>
          </w:rPr>
          <w:t xml:space="preserve">состав</w:t>
        </w:r>
      </w:hyperlink>
      <w:r>
        <w:rPr>
          <w:sz w:val="20"/>
        </w:rPr>
        <w:t xml:space="preserve"> которого утверждается Правительством Российской Федерации по представлению Министерства науки и высшего образования Российской Федерации;</w:t>
      </w:r>
    </w:p>
    <w:p>
      <w:pPr>
        <w:pStyle w:val="0"/>
        <w:spacing w:before="200" w:line-rule="auto"/>
        <w:ind w:firstLine="540"/>
        <w:jc w:val="both"/>
      </w:pPr>
      <w:r>
        <w:rPr>
          <w:sz w:val="20"/>
        </w:rPr>
        <w:t xml:space="preserve">"управляющий совет центра" - коллегиальный орган управления центром, образованный наблюдательным советом центра из числа представителей всех участников центра для организационного руководства и координации его деятельности по реализации программы деятельности центра;</w:t>
      </w:r>
    </w:p>
    <w:p>
      <w:pPr>
        <w:pStyle w:val="0"/>
        <w:spacing w:before="200" w:line-rule="auto"/>
        <w:ind w:firstLine="540"/>
        <w:jc w:val="both"/>
      </w:pPr>
      <w:r>
        <w:rPr>
          <w:sz w:val="20"/>
        </w:rPr>
        <w:t xml:space="preserve">"участник центра" - юридическое лицо, участвующее в реализации программы деятельности центра;</w:t>
      </w:r>
    </w:p>
    <w:p>
      <w:pPr>
        <w:pStyle w:val="0"/>
        <w:spacing w:before="200" w:line-rule="auto"/>
        <w:ind w:firstLine="540"/>
        <w:jc w:val="both"/>
      </w:pPr>
      <w:r>
        <w:rPr>
          <w:sz w:val="20"/>
        </w:rPr>
        <w:t xml:space="preserve">"центр" - научно-образовательный центр мирового уровня, представляющий собой поддерживаемое субъектом Российской Федерации объединение без образования юридического лица организаций, осуществляющих образовательную деятельность по образовательным программам высшего образования и дополнительным профессиональным программам, и (или) научных организаций с организациями, действующими в реальном секторе экономики, и осуществляющий деятельность в соответствии с программой деятельности центра.</w:t>
      </w:r>
    </w:p>
    <w:p>
      <w:pPr>
        <w:pStyle w:val="0"/>
        <w:jc w:val="both"/>
      </w:pPr>
      <w:r>
        <w:rPr>
          <w:sz w:val="20"/>
        </w:rPr>
        <w:t xml:space="preserve">(в ред. </w:t>
      </w:r>
      <w:hyperlink w:history="0" r:id="rId20" w:tooltip="Постановление Правительства РФ от 09.04.2022 N 63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09.04.2022 N 634)</w:t>
      </w:r>
    </w:p>
    <w:p>
      <w:pPr>
        <w:pStyle w:val="0"/>
        <w:spacing w:before="200" w:line-rule="auto"/>
        <w:ind w:firstLine="540"/>
        <w:jc w:val="both"/>
      </w:pPr>
      <w:r>
        <w:rPr>
          <w:sz w:val="20"/>
        </w:rPr>
        <w:t xml:space="preserve">3. Гранты предоставляются получателям гранта на основании акта Правительства Российской Федерации по итогам рассмотрения результатов реализации в отчетном году программ деятельности центров, отобранных по результатам конкурса, который проводится для определения получателя гранта, исходя из наилучших условий достижения результатов, в целях достижения которых предоставляется грант (далее - результат предоставления гранта).</w:t>
      </w:r>
    </w:p>
    <w:p>
      <w:pPr>
        <w:pStyle w:val="0"/>
        <w:spacing w:before="200" w:line-rule="auto"/>
        <w:ind w:firstLine="540"/>
        <w:jc w:val="both"/>
      </w:pPr>
      <w:r>
        <w:rPr>
          <w:sz w:val="20"/>
        </w:rPr>
        <w:t xml:space="preserve">Гранты предоставляются в пределах лимитов бюджетных обязательств, доведенных в установленном порядке до Министерства науки и высшего образования Российской Федерации как получателя средств федерального бюджета на цели, указанные в </w:t>
      </w:r>
      <w:hyperlink w:history="0" w:anchor="P52" w:tooltip="1. Настоящие Правила устанавливают цели, условия и порядок предоставления грантов в форме субсидий из федерального бюджета на оказание государственной поддержки научно-образовательных центров мирового уровня на основе интеграции образовательных организаций высшего образования и научных организаций и их кооперации с организациями, действующими в реальном секторе экономики, в рамках федерального проекта &quot;Развитие интеграционных процессов в сфере науки, высшего образования и индустрии&quot; национального проекта...">
        <w:r>
          <w:rPr>
            <w:sz w:val="20"/>
            <w:color w:val="0000ff"/>
          </w:rPr>
          <w:t xml:space="preserve">пункте 1</w:t>
        </w:r>
      </w:hyperlink>
      <w:r>
        <w:rPr>
          <w:sz w:val="20"/>
        </w:rPr>
        <w:t xml:space="preserve"> настоящих Правил.</w:t>
      </w:r>
    </w:p>
    <w:bookmarkStart w:id="72" w:name="P72"/>
    <w:bookmarkEnd w:id="72"/>
    <w:p>
      <w:pPr>
        <w:pStyle w:val="0"/>
        <w:spacing w:before="200" w:line-rule="auto"/>
        <w:ind w:firstLine="540"/>
        <w:jc w:val="both"/>
      </w:pPr>
      <w:r>
        <w:rPr>
          <w:sz w:val="20"/>
        </w:rPr>
        <w:t xml:space="preserve">4. Для консолидации мер государственной поддержки научно-технологической деятельности центра при подготовке и реализации программы деятельности центра могут использоваться формы государственной поддержки, установленные:</w:t>
      </w:r>
    </w:p>
    <w:p>
      <w:pPr>
        <w:pStyle w:val="0"/>
        <w:spacing w:before="200" w:line-rule="auto"/>
        <w:ind w:firstLine="540"/>
        <w:jc w:val="both"/>
      </w:pPr>
      <w:r>
        <w:rPr>
          <w:sz w:val="20"/>
        </w:rPr>
        <w:t xml:space="preserve">а) для территорий опережающего социально-экономического развития в соответствии с Федеральным </w:t>
      </w:r>
      <w:hyperlink w:history="0" r:id="rId21" w:tooltip="Федеральный закон от 29.12.2014 N 473-ФЗ (ред. от 14.07.2022) &quot;О территориях опережающего социально-экономического развития в Российской Федерации&quot; (с изм. и доп., вступ. в силу с 10.09.2022) {КонсультантПлюс}">
        <w:r>
          <w:rPr>
            <w:sz w:val="20"/>
            <w:color w:val="0000ff"/>
          </w:rPr>
          <w:t xml:space="preserve">законом</w:t>
        </w:r>
      </w:hyperlink>
      <w:r>
        <w:rPr>
          <w:sz w:val="20"/>
        </w:rPr>
        <w:t xml:space="preserve"> "О территориях опережающего социально-экономического развития в Российской Федерации";</w:t>
      </w:r>
    </w:p>
    <w:p>
      <w:pPr>
        <w:pStyle w:val="0"/>
        <w:spacing w:before="200" w:line-rule="auto"/>
        <w:ind w:firstLine="540"/>
        <w:jc w:val="both"/>
      </w:pPr>
      <w:r>
        <w:rPr>
          <w:sz w:val="20"/>
        </w:rPr>
        <w:t xml:space="preserve">б) для государственных научных центров Российской Федерации, создаваемых в соответствии с </w:t>
      </w:r>
      <w:hyperlink w:history="0" r:id="rId22" w:tooltip="Указ Президента РФ от 22.06.1993 N 939 (ред. от 12.08.2022) &quot;О государственных научных центрах Российской Федерации&quot; {КонсультантПлюс}">
        <w:r>
          <w:rPr>
            <w:sz w:val="20"/>
            <w:color w:val="0000ff"/>
          </w:rPr>
          <w:t xml:space="preserve">Указом</w:t>
        </w:r>
      </w:hyperlink>
      <w:r>
        <w:rPr>
          <w:sz w:val="20"/>
        </w:rPr>
        <w:t xml:space="preserve"> Президента Российской Федерации от 22 июня 1993 г. N 939 "О государственных научных центрах Российской Федерации";</w:t>
      </w:r>
    </w:p>
    <w:p>
      <w:pPr>
        <w:pStyle w:val="0"/>
        <w:spacing w:before="200" w:line-rule="auto"/>
        <w:ind w:firstLine="540"/>
        <w:jc w:val="both"/>
      </w:pPr>
      <w:r>
        <w:rPr>
          <w:sz w:val="20"/>
        </w:rPr>
        <w:t xml:space="preserve">в) для инновационных научно-технологических центров, правовое регулирование вопросов создания и деятельности которых осуществляется в соответствии с Федеральным </w:t>
      </w:r>
      <w:hyperlink w:history="0" r:id="rId23" w:tooltip="Федеральный закон от 29.07.2017 N 216-ФЗ (ред. от 02.07.2021)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"Об инновационных научно-технологических центрах и о внесении изменений в отдельные законодательные акты Российской Федерации";</w:t>
      </w:r>
    </w:p>
    <w:p>
      <w:pPr>
        <w:pStyle w:val="0"/>
        <w:spacing w:before="200" w:line-rule="auto"/>
        <w:ind w:firstLine="540"/>
        <w:jc w:val="both"/>
      </w:pPr>
      <w:r>
        <w:rPr>
          <w:sz w:val="20"/>
        </w:rPr>
        <w:t xml:space="preserve">г) для наукоградов Российской Федерации, правовое регулирование создания и деятельности которых осуществляется в соответствии с Федеральным </w:t>
      </w:r>
      <w:hyperlink w:history="0" r:id="rId24" w:tooltip="Федеральный закон от 07.04.1999 N 70-ФЗ (ред. от 20.04.2015) &quot;О статусе наукограда Российской Федерации&quot; {КонсультантПлюс}">
        <w:r>
          <w:rPr>
            <w:sz w:val="20"/>
            <w:color w:val="0000ff"/>
          </w:rPr>
          <w:t xml:space="preserve">законом</w:t>
        </w:r>
      </w:hyperlink>
      <w:r>
        <w:rPr>
          <w:sz w:val="20"/>
        </w:rPr>
        <w:t xml:space="preserve"> "О статусе наукограда Российской Федерации";</w:t>
      </w:r>
    </w:p>
    <w:p>
      <w:pPr>
        <w:pStyle w:val="0"/>
        <w:spacing w:before="200" w:line-rule="auto"/>
        <w:ind w:firstLine="540"/>
        <w:jc w:val="both"/>
      </w:pPr>
      <w:r>
        <w:rPr>
          <w:sz w:val="20"/>
        </w:rPr>
        <w:t xml:space="preserve">д) для центров компетенций Национальной технологической инициативы, создаваемых в рамках реализации национального проекта "Наука и университеты";</w:t>
      </w:r>
    </w:p>
    <w:p>
      <w:pPr>
        <w:pStyle w:val="0"/>
        <w:spacing w:before="200" w:line-rule="auto"/>
        <w:ind w:firstLine="540"/>
        <w:jc w:val="both"/>
      </w:pPr>
      <w:r>
        <w:rPr>
          <w:sz w:val="20"/>
        </w:rPr>
        <w:t xml:space="preserve">е) для агробиотехнопарков, создаваемых в рамках реализации национального проекта "Наука и университеты";</w:t>
      </w:r>
    </w:p>
    <w:p>
      <w:pPr>
        <w:pStyle w:val="0"/>
        <w:spacing w:before="200" w:line-rule="auto"/>
        <w:ind w:firstLine="540"/>
        <w:jc w:val="both"/>
      </w:pPr>
      <w:r>
        <w:rPr>
          <w:sz w:val="20"/>
        </w:rPr>
        <w:t xml:space="preserve">ж) для лидирующих исследовательских центров, создаваемых для развития "сквозных" цифровых технологий с учетом анализа международного опыта в рамках национальной </w:t>
      </w:r>
      <w:hyperlink w:history="0" r:id="rId25" w:tooltip="&quot;Паспорт национального проекта &quot;Национальная программа &quot;Цифровая экономика Российской Федерации&quot; (утв. президиумом Совета при Президенте РФ по стратегическому развитию и национальным проектам, протокол от 04.06.2019 N 7) {КонсультантПлюс}">
        <w:r>
          <w:rPr>
            <w:sz w:val="20"/>
            <w:color w:val="0000ff"/>
          </w:rPr>
          <w:t xml:space="preserve">программы</w:t>
        </w:r>
      </w:hyperlink>
      <w:r>
        <w:rPr>
          <w:sz w:val="20"/>
        </w:rPr>
        <w:t xml:space="preserve"> "Цифровая экономика Российской Федерации";</w:t>
      </w:r>
    </w:p>
    <w:p>
      <w:pPr>
        <w:pStyle w:val="0"/>
        <w:spacing w:before="200" w:line-rule="auto"/>
        <w:ind w:firstLine="540"/>
        <w:jc w:val="both"/>
      </w:pPr>
      <w:r>
        <w:rPr>
          <w:sz w:val="20"/>
        </w:rPr>
        <w:t xml:space="preserve">з) для заказчиков и участников комплексных научно-технических программ и (или) проектов полного инновационного цикла в целях обеспечения реализации приоритетов научно-технологического развития Российской Федерации;</w:t>
      </w:r>
    </w:p>
    <w:p>
      <w:pPr>
        <w:pStyle w:val="0"/>
        <w:spacing w:before="200" w:line-rule="auto"/>
        <w:ind w:firstLine="540"/>
        <w:jc w:val="both"/>
      </w:pPr>
      <w:r>
        <w:rPr>
          <w:sz w:val="20"/>
        </w:rPr>
        <w:t xml:space="preserve">и) для финансовой поддержки научных исследований и разработок их коммерциализации, предоставляемой институтами инновационного развития;</w:t>
      </w:r>
    </w:p>
    <w:p>
      <w:pPr>
        <w:pStyle w:val="0"/>
        <w:spacing w:before="200" w:line-rule="auto"/>
        <w:ind w:firstLine="540"/>
        <w:jc w:val="both"/>
      </w:pPr>
      <w:r>
        <w:rPr>
          <w:sz w:val="20"/>
        </w:rPr>
        <w:t xml:space="preserve">к) для других программ и проектов, в том числе инициированных федеральными органами исполнительной власти, органами государственной власти субъектов Российской Федерации, организациями, действующими в реальном секторе экономики.</w:t>
      </w:r>
    </w:p>
    <w:p>
      <w:pPr>
        <w:pStyle w:val="0"/>
        <w:spacing w:before="200" w:line-rule="auto"/>
        <w:ind w:firstLine="540"/>
        <w:jc w:val="both"/>
      </w:pPr>
      <w:r>
        <w:rPr>
          <w:sz w:val="20"/>
        </w:rPr>
        <w:t xml:space="preserve">5. Реализация программы деятельности центра обеспечивается всеми участниками центра, в том числе посредством:</w:t>
      </w:r>
    </w:p>
    <w:p>
      <w:pPr>
        <w:pStyle w:val="0"/>
        <w:spacing w:before="200" w:line-rule="auto"/>
        <w:ind w:firstLine="540"/>
        <w:jc w:val="both"/>
      </w:pPr>
      <w:r>
        <w:rPr>
          <w:sz w:val="20"/>
        </w:rPr>
        <w:t xml:space="preserve">а) участия в реализации комплексных научно-технических программ и (или) проектов полного инновационного цикла в случаях, если участник центра является заказчиком или участником таких программ и (или) проектов;</w:t>
      </w:r>
    </w:p>
    <w:p>
      <w:pPr>
        <w:pStyle w:val="0"/>
        <w:spacing w:before="200" w:line-rule="auto"/>
        <w:ind w:firstLine="540"/>
        <w:jc w:val="both"/>
      </w:pPr>
      <w:r>
        <w:rPr>
          <w:sz w:val="20"/>
        </w:rPr>
        <w:t xml:space="preserve">б) создания и функционирования центров развития компетенций руководителей научных, научно-технических проектов и лабораторий;</w:t>
      </w:r>
    </w:p>
    <w:p>
      <w:pPr>
        <w:pStyle w:val="0"/>
        <w:spacing w:before="200" w:line-rule="auto"/>
        <w:ind w:firstLine="540"/>
        <w:jc w:val="both"/>
      </w:pPr>
      <w:r>
        <w:rPr>
          <w:sz w:val="20"/>
        </w:rPr>
        <w:t xml:space="preserve">в) ведения реестра результатов интеллектуальной деятельности, созданных участниками центра в рамках реализации программы деятельности центра;</w:t>
      </w:r>
    </w:p>
    <w:p>
      <w:pPr>
        <w:pStyle w:val="0"/>
        <w:spacing w:before="200" w:line-rule="auto"/>
        <w:ind w:firstLine="540"/>
        <w:jc w:val="both"/>
      </w:pPr>
      <w:r>
        <w:rPr>
          <w:sz w:val="20"/>
        </w:rPr>
        <w:t xml:space="preserve">г) коммерциализации полученных результатов интеллектуальной деятельности, производства и увеличения объема новой и усовершенствованной высокотехнологичной продукции;</w:t>
      </w:r>
    </w:p>
    <w:p>
      <w:pPr>
        <w:pStyle w:val="0"/>
        <w:spacing w:before="200" w:line-rule="auto"/>
        <w:ind w:firstLine="540"/>
        <w:jc w:val="both"/>
      </w:pPr>
      <w:r>
        <w:rPr>
          <w:sz w:val="20"/>
        </w:rPr>
        <w:t xml:space="preserve">д) формирования и использования участниками центра научной, производственной, технологической и иной инфраструктуры центра;</w:t>
      </w:r>
    </w:p>
    <w:p>
      <w:pPr>
        <w:pStyle w:val="0"/>
        <w:spacing w:before="200" w:line-rule="auto"/>
        <w:ind w:firstLine="540"/>
        <w:jc w:val="both"/>
      </w:pPr>
      <w:r>
        <w:rPr>
          <w:sz w:val="20"/>
        </w:rPr>
        <w:t xml:space="preserve">е) разработки и внедрения участниками центра образовательных программ высшего образования, дополнительных профессиональных программ, предусматривающих использование инфраструктуры и кадрового потенциала всех участников центра;</w:t>
      </w:r>
    </w:p>
    <w:p>
      <w:pPr>
        <w:pStyle w:val="0"/>
        <w:spacing w:before="200" w:line-rule="auto"/>
        <w:ind w:firstLine="540"/>
        <w:jc w:val="both"/>
      </w:pPr>
      <w:r>
        <w:rPr>
          <w:sz w:val="20"/>
        </w:rPr>
        <w:t xml:space="preserve">ж) реализации программ академической мобильности научно-педагогических работников и обучающихся, осуществления мер по привлечению молодых исследователей и педагогических работников в образовательные и научные организации, которые являются участниками центра;</w:t>
      </w:r>
    </w:p>
    <w:p>
      <w:pPr>
        <w:pStyle w:val="0"/>
        <w:spacing w:before="200" w:line-rule="auto"/>
        <w:ind w:firstLine="540"/>
        <w:jc w:val="both"/>
      </w:pPr>
      <w:r>
        <w:rPr>
          <w:sz w:val="20"/>
        </w:rPr>
        <w:t xml:space="preserve">з) информационной и консультационной поддержки по вопросам сертификации и стандартизации произведенной высокотехнологичной продукции;</w:t>
      </w:r>
    </w:p>
    <w:p>
      <w:pPr>
        <w:pStyle w:val="0"/>
        <w:spacing w:before="200" w:line-rule="auto"/>
        <w:ind w:firstLine="540"/>
        <w:jc w:val="both"/>
      </w:pPr>
      <w:r>
        <w:rPr>
          <w:sz w:val="20"/>
        </w:rPr>
        <w:t xml:space="preserve">и) предоставления инжиниринговых услуг (в том числе ускоренного проектирования внедрения высокотехнологичной продукции);</w:t>
      </w:r>
    </w:p>
    <w:p>
      <w:pPr>
        <w:pStyle w:val="0"/>
        <w:spacing w:before="200" w:line-rule="auto"/>
        <w:ind w:firstLine="540"/>
        <w:jc w:val="both"/>
      </w:pPr>
      <w:r>
        <w:rPr>
          <w:sz w:val="20"/>
        </w:rPr>
        <w:t xml:space="preserve">к) участия в мероприятиях, направленных на поддержку экспорта, правовое регулирование которых осуществляется в соответствии с Федеральным </w:t>
      </w:r>
      <w:hyperlink w:history="0" r:id="rId26" w:tooltip="Федеральный закон от 08.12.2003 N 164-ФЗ (ред. от 14.07.2022) &quot;Об основах государственного регулирования внешнеторговой деятельности&quot; {КонсультантПлюс}">
        <w:r>
          <w:rPr>
            <w:sz w:val="20"/>
            <w:color w:val="0000ff"/>
          </w:rPr>
          <w:t xml:space="preserve">законом</w:t>
        </w:r>
      </w:hyperlink>
      <w:r>
        <w:rPr>
          <w:sz w:val="20"/>
        </w:rPr>
        <w:t xml:space="preserve"> "Об основах государственного регулирования внешнеторговой деятельности".</w:t>
      </w:r>
    </w:p>
    <w:p>
      <w:pPr>
        <w:pStyle w:val="0"/>
        <w:spacing w:before="200" w:line-rule="auto"/>
        <w:ind w:firstLine="540"/>
        <w:jc w:val="both"/>
      </w:pPr>
      <w:r>
        <w:rPr>
          <w:sz w:val="20"/>
        </w:rPr>
        <w:t xml:space="preserve">6. Наблюдательный совет центра осуществляет следующие функции:</w:t>
      </w:r>
    </w:p>
    <w:p>
      <w:pPr>
        <w:pStyle w:val="0"/>
        <w:spacing w:before="200" w:line-rule="auto"/>
        <w:ind w:firstLine="540"/>
        <w:jc w:val="both"/>
      </w:pPr>
      <w:r>
        <w:rPr>
          <w:sz w:val="20"/>
        </w:rPr>
        <w:t xml:space="preserve">а) утверждает программу деятельности центра;</w:t>
      </w:r>
    </w:p>
    <w:p>
      <w:pPr>
        <w:pStyle w:val="0"/>
        <w:jc w:val="both"/>
      </w:pPr>
      <w:r>
        <w:rPr>
          <w:sz w:val="20"/>
        </w:rPr>
        <w:t xml:space="preserve">(в ред. </w:t>
      </w:r>
      <w:hyperlink w:history="0" r:id="rId27" w:tooltip="Постановление Правительства РФ от 09.04.2022 N 63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09.04.2022 N 634)</w:t>
      </w:r>
    </w:p>
    <w:p>
      <w:pPr>
        <w:pStyle w:val="0"/>
        <w:spacing w:before="200" w:line-rule="auto"/>
        <w:ind w:firstLine="540"/>
        <w:jc w:val="both"/>
      </w:pPr>
      <w:r>
        <w:rPr>
          <w:sz w:val="20"/>
        </w:rPr>
        <w:t xml:space="preserve">а(1)) в случаях, предусмотренных </w:t>
      </w:r>
      <w:hyperlink w:history="0" w:anchor="P221" w:tooltip="20(1). Предложения о внесении изменений в программы деятельности центров и состав участников центра рассматриваются до 20 рабочих дней конкурсной комиссией в следующих случаях:">
        <w:r>
          <w:rPr>
            <w:sz w:val="20"/>
            <w:color w:val="0000ff"/>
          </w:rPr>
          <w:t xml:space="preserve">пунктом 20(1)</w:t>
        </w:r>
      </w:hyperlink>
      <w:r>
        <w:rPr>
          <w:sz w:val="20"/>
        </w:rPr>
        <w:t xml:space="preserve"> настоящих Правил, по согласованию с Министерством науки и высшего образования Российской Федерации, а в иных случаях по согласованию с Советом научно-образовательных центров мирового уровня вносит изменения в программу деятельности центра и в состав участников центра (при необходимости);</w:t>
      </w:r>
    </w:p>
    <w:p>
      <w:pPr>
        <w:pStyle w:val="0"/>
        <w:jc w:val="both"/>
      </w:pPr>
      <w:r>
        <w:rPr>
          <w:sz w:val="20"/>
        </w:rPr>
        <w:t xml:space="preserve">(пп. "а(1)" введен </w:t>
      </w:r>
      <w:hyperlink w:history="0" r:id="rId28" w:tooltip="Постановление Правительства РФ от 09.04.2022 N 634 &quot;О внесении изменений в некоторые акты Правительства Российской Федерации&quot; {КонсультантПлюс}">
        <w:r>
          <w:rPr>
            <w:sz w:val="20"/>
            <w:color w:val="0000ff"/>
          </w:rPr>
          <w:t xml:space="preserve">Постановлением</w:t>
        </w:r>
      </w:hyperlink>
      <w:r>
        <w:rPr>
          <w:sz w:val="20"/>
        </w:rPr>
        <w:t xml:space="preserve"> Правительства РФ от 09.04.2022 N 634)</w:t>
      </w:r>
    </w:p>
    <w:p>
      <w:pPr>
        <w:pStyle w:val="0"/>
        <w:spacing w:before="200" w:line-rule="auto"/>
        <w:ind w:firstLine="540"/>
        <w:jc w:val="both"/>
      </w:pPr>
      <w:r>
        <w:rPr>
          <w:sz w:val="20"/>
        </w:rPr>
        <w:t xml:space="preserve">б) осуществляет мониторинг реализации программы деятельности центра;</w:t>
      </w:r>
    </w:p>
    <w:p>
      <w:pPr>
        <w:pStyle w:val="0"/>
        <w:spacing w:before="200" w:line-rule="auto"/>
        <w:ind w:firstLine="540"/>
        <w:jc w:val="both"/>
      </w:pPr>
      <w:r>
        <w:rPr>
          <w:sz w:val="20"/>
        </w:rPr>
        <w:t xml:space="preserve">в) утверждает положение об управляющем совете центра и его состав, определяет порядок формирования, задачи и функции иных консультативных и совещательных органов центра;</w:t>
      </w:r>
    </w:p>
    <w:p>
      <w:pPr>
        <w:pStyle w:val="0"/>
        <w:spacing w:before="200" w:line-rule="auto"/>
        <w:ind w:firstLine="540"/>
        <w:jc w:val="both"/>
      </w:pPr>
      <w:r>
        <w:rPr>
          <w:sz w:val="20"/>
        </w:rPr>
        <w:t xml:space="preserve">г) осуществляет иные функции, предусмотренные программой деятельности центра.</w:t>
      </w:r>
    </w:p>
    <w:p>
      <w:pPr>
        <w:pStyle w:val="0"/>
        <w:spacing w:before="200" w:line-rule="auto"/>
        <w:ind w:firstLine="540"/>
        <w:jc w:val="both"/>
      </w:pPr>
      <w:r>
        <w:rPr>
          <w:sz w:val="20"/>
        </w:rPr>
        <w:t xml:space="preserve">7. Текущее руководство и координацию участников центра осуществляет управляющий совет центра, в том числе посредством:</w:t>
      </w:r>
    </w:p>
    <w:p>
      <w:pPr>
        <w:pStyle w:val="0"/>
        <w:spacing w:before="200" w:line-rule="auto"/>
        <w:ind w:firstLine="540"/>
        <w:jc w:val="both"/>
      </w:pPr>
      <w:r>
        <w:rPr>
          <w:sz w:val="20"/>
        </w:rPr>
        <w:t xml:space="preserve">а) принятия документов по вопросам реализации программы деятельности центра и обеспечения соблюдения их требований участниками центра;</w:t>
      </w:r>
    </w:p>
    <w:p>
      <w:pPr>
        <w:pStyle w:val="0"/>
        <w:spacing w:before="200" w:line-rule="auto"/>
        <w:ind w:firstLine="540"/>
        <w:jc w:val="both"/>
      </w:pPr>
      <w:r>
        <w:rPr>
          <w:sz w:val="20"/>
        </w:rPr>
        <w:t xml:space="preserve">б) обеспечения взаимодействия участников центра между собой, использования инфраструктуры центра его участниками, включая содействие:</w:t>
      </w:r>
    </w:p>
    <w:p>
      <w:pPr>
        <w:pStyle w:val="0"/>
        <w:spacing w:before="200" w:line-rule="auto"/>
        <w:ind w:firstLine="540"/>
        <w:jc w:val="both"/>
      </w:pPr>
      <w:r>
        <w:rPr>
          <w:sz w:val="20"/>
        </w:rPr>
        <w:t xml:space="preserve">в организации научной, научно-технической и инновационной деятельности;</w:t>
      </w:r>
    </w:p>
    <w:p>
      <w:pPr>
        <w:pStyle w:val="0"/>
        <w:spacing w:before="200" w:line-rule="auto"/>
        <w:ind w:firstLine="540"/>
        <w:jc w:val="both"/>
      </w:pPr>
      <w:r>
        <w:rPr>
          <w:sz w:val="20"/>
        </w:rPr>
        <w:t xml:space="preserve">в предоставлении участникам центра необходимых работ (услуг) для осуществления соответствующей деятельности, а также для государственной регистрации результатов интеллектуальной деятельности, созданных участниками центра в рамках реализации программы деятельности центра.</w:t>
      </w:r>
    </w:p>
    <w:p>
      <w:pPr>
        <w:pStyle w:val="0"/>
        <w:spacing w:before="200" w:line-rule="auto"/>
        <w:ind w:firstLine="540"/>
        <w:jc w:val="both"/>
      </w:pPr>
      <w:r>
        <w:rPr>
          <w:sz w:val="20"/>
        </w:rPr>
        <w:t xml:space="preserve">8. В целях проведения конкурса Министерство науки и высшего образования Российской Федерации:</w:t>
      </w:r>
    </w:p>
    <w:p>
      <w:pPr>
        <w:pStyle w:val="0"/>
        <w:spacing w:before="200" w:line-rule="auto"/>
        <w:ind w:firstLine="540"/>
        <w:jc w:val="both"/>
      </w:pPr>
      <w:r>
        <w:rPr>
          <w:sz w:val="20"/>
        </w:rPr>
        <w:t xml:space="preserve">а) принимает решение о проведении конкурса и создает конкурсную комиссию;</w:t>
      </w:r>
    </w:p>
    <w:p>
      <w:pPr>
        <w:pStyle w:val="0"/>
        <w:spacing w:before="200" w:line-rule="auto"/>
        <w:ind w:firstLine="540"/>
        <w:jc w:val="both"/>
      </w:pPr>
      <w:r>
        <w:rPr>
          <w:sz w:val="20"/>
        </w:rPr>
        <w:t xml:space="preserve">б) устанавливает дату размещения на едином портале объявления о проведении конкурса, содержащего следующие сведения:</w:t>
      </w:r>
    </w:p>
    <w:p>
      <w:pPr>
        <w:pStyle w:val="0"/>
        <w:jc w:val="both"/>
      </w:pPr>
      <w:r>
        <w:rPr>
          <w:sz w:val="20"/>
        </w:rPr>
        <w:t xml:space="preserve">(в ред. </w:t>
      </w:r>
      <w:hyperlink w:history="0" r:id="rId29" w:tooltip="Постановление Правительства РФ от 09.04.2022 N 63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09.04.2022 N 634)</w:t>
      </w:r>
    </w:p>
    <w:p>
      <w:pPr>
        <w:pStyle w:val="0"/>
        <w:spacing w:before="200" w:line-rule="auto"/>
        <w:ind w:firstLine="540"/>
        <w:jc w:val="both"/>
      </w:pPr>
      <w:r>
        <w:rPr>
          <w:sz w:val="20"/>
        </w:rPr>
        <w:t xml:space="preserve">сроки проведения конкурса;</w:t>
      </w:r>
    </w:p>
    <w:p>
      <w:pPr>
        <w:pStyle w:val="0"/>
        <w:jc w:val="both"/>
      </w:pPr>
      <w:r>
        <w:rPr>
          <w:sz w:val="20"/>
        </w:rPr>
        <w:t xml:space="preserve">(в ред. </w:t>
      </w:r>
      <w:hyperlink w:history="0" r:id="rId30" w:tooltip="Постановление Правительства РФ от 09.04.2022 N 63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09.04.2022 N 634)</w:t>
      </w:r>
    </w:p>
    <w:p>
      <w:pPr>
        <w:pStyle w:val="0"/>
        <w:spacing w:before="200" w:line-rule="auto"/>
        <w:ind w:firstLine="540"/>
        <w:jc w:val="both"/>
      </w:pPr>
      <w:r>
        <w:rPr>
          <w:sz w:val="20"/>
        </w:rPr>
        <w:t xml:space="preserve">дата начала подачи и окончания приема заявок на участие в конкурсе (далее - заявка), которая не может быть ранее 30-го календарного дня, следующего за днем размещения объявления о проведении конкурса;</w:t>
      </w:r>
    </w:p>
    <w:p>
      <w:pPr>
        <w:pStyle w:val="0"/>
        <w:jc w:val="both"/>
      </w:pPr>
      <w:r>
        <w:rPr>
          <w:sz w:val="20"/>
        </w:rPr>
        <w:t xml:space="preserve">(абзац введен </w:t>
      </w:r>
      <w:hyperlink w:history="0" r:id="rId31" w:tooltip="Постановление Правительства РФ от 09.04.2022 N 634 &quot;О внесении изменений в некоторые акты Правительства Российской Федерации&quot; {КонсультантПлюс}">
        <w:r>
          <w:rPr>
            <w:sz w:val="20"/>
            <w:color w:val="0000ff"/>
          </w:rPr>
          <w:t xml:space="preserve">Постановлением</w:t>
        </w:r>
      </w:hyperlink>
      <w:r>
        <w:rPr>
          <w:sz w:val="20"/>
        </w:rPr>
        <w:t xml:space="preserve"> Правительства РФ от 09.04.2022 N 634)</w:t>
      </w:r>
    </w:p>
    <w:p>
      <w:pPr>
        <w:pStyle w:val="0"/>
        <w:spacing w:before="200" w:line-rule="auto"/>
        <w:ind w:firstLine="540"/>
        <w:jc w:val="both"/>
      </w:pPr>
      <w:r>
        <w:rPr>
          <w:sz w:val="20"/>
        </w:rPr>
        <w:t xml:space="preserve">наименование, место нахождения, почтовый адрес, адрес электронной почты Министерства науки и высшего образования Российской Федерации;</w:t>
      </w:r>
    </w:p>
    <w:p>
      <w:pPr>
        <w:pStyle w:val="0"/>
        <w:spacing w:before="200" w:line-rule="auto"/>
        <w:ind w:firstLine="540"/>
        <w:jc w:val="both"/>
      </w:pPr>
      <w:r>
        <w:rPr>
          <w:sz w:val="20"/>
        </w:rPr>
        <w:t xml:space="preserve">результат предоставления гранта в соответствии с </w:t>
      </w:r>
      <w:hyperlink w:history="0" w:anchor="P252" w:tooltip="26. Результатом предоставления гранта являются реализация в отчетном году предусмотренных программой деятельности центра мероприятий программы и достижение показателей, указанных в подпункте &quot;д&quot; пункта 11 настоящих Правил, необходимых для достижения результата предоставления гранта, и установленных в соглашении.">
        <w:r>
          <w:rPr>
            <w:sz w:val="20"/>
            <w:color w:val="0000ff"/>
          </w:rPr>
          <w:t xml:space="preserve">пунктом 26</w:t>
        </w:r>
      </w:hyperlink>
      <w:r>
        <w:rPr>
          <w:sz w:val="20"/>
        </w:rPr>
        <w:t xml:space="preserve"> настоящих Правил;</w:t>
      </w:r>
    </w:p>
    <w:p>
      <w:pPr>
        <w:pStyle w:val="0"/>
        <w:spacing w:before="200" w:line-rule="auto"/>
        <w:ind w:firstLine="540"/>
        <w:jc w:val="both"/>
      </w:pPr>
      <w:r>
        <w:rPr>
          <w:sz w:val="20"/>
        </w:rPr>
        <w:t xml:space="preserve">доменное имя и (или) указатели страниц государственной интегрированной информационной системы управления общественными финансами "Электронный бюджет" (далее - система "Электронный бюджет"), на которых обеспечивается проведение конкурса;</w:t>
      </w:r>
    </w:p>
    <w:p>
      <w:pPr>
        <w:pStyle w:val="0"/>
        <w:jc w:val="both"/>
      </w:pPr>
      <w:r>
        <w:rPr>
          <w:sz w:val="20"/>
        </w:rPr>
        <w:t xml:space="preserve">(в ред. </w:t>
      </w:r>
      <w:hyperlink w:history="0" r:id="rId32" w:tooltip="Постановление Правительства РФ от 09.04.2022 N 63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09.04.2022 N 634)</w:t>
      </w:r>
    </w:p>
    <w:p>
      <w:pPr>
        <w:pStyle w:val="0"/>
        <w:spacing w:before="200" w:line-rule="auto"/>
        <w:ind w:firstLine="540"/>
        <w:jc w:val="both"/>
      </w:pPr>
      <w:r>
        <w:rPr>
          <w:sz w:val="20"/>
        </w:rPr>
        <w:t xml:space="preserve">требования к участникам центра, предусмотренные </w:t>
      </w:r>
      <w:hyperlink w:history="0" w:anchor="P165" w:tooltip="10. Участники центра по состоянию на 1-е число месяца, предшествующего месяцу, в котором подается заявка, должны соответствовать следующим требованиям:">
        <w:r>
          <w:rPr>
            <w:sz w:val="20"/>
            <w:color w:val="0000ff"/>
          </w:rPr>
          <w:t xml:space="preserve">пунктом 10</w:t>
        </w:r>
      </w:hyperlink>
      <w:r>
        <w:rPr>
          <w:sz w:val="20"/>
        </w:rPr>
        <w:t xml:space="preserve"> настоящих Правил, и перечень документов, представляемых участниками центра для подтверждения их соответствия указанным требованиям;</w:t>
      </w:r>
    </w:p>
    <w:p>
      <w:pPr>
        <w:pStyle w:val="0"/>
        <w:spacing w:before="200" w:line-rule="auto"/>
        <w:ind w:firstLine="540"/>
        <w:jc w:val="both"/>
      </w:pPr>
      <w:r>
        <w:rPr>
          <w:sz w:val="20"/>
        </w:rPr>
        <w:t xml:space="preserve">порядок подачи заявок и требования, предъявляемые к форме и содержанию заявок, подаваемых инициатором создания центра в соответствии с </w:t>
      </w:r>
      <w:hyperlink w:history="0" w:anchor="P146" w:tooltip="9. Для участия в конкурсе инициатор создания центра в течение 30 календарных дней со дня начала приема заявок представляет в Министерство науки и высшего образования Российской Федерации заявку, подписанную руководителем инициатора создания центра или лицом, его замещающим, и оформленную в соответствии с требованиями, указанными в объявлении о проведении конкурса, включающую в том числе следующие документы, подготовленные на русском языке (на бумажном носителе и в электронной форме):">
        <w:r>
          <w:rPr>
            <w:sz w:val="20"/>
            <w:color w:val="0000ff"/>
          </w:rPr>
          <w:t xml:space="preserve">пунктом 9</w:t>
        </w:r>
      </w:hyperlink>
      <w:r>
        <w:rPr>
          <w:sz w:val="20"/>
        </w:rPr>
        <w:t xml:space="preserve"> настоящих Правил;</w:t>
      </w:r>
    </w:p>
    <w:p>
      <w:pPr>
        <w:pStyle w:val="0"/>
        <w:spacing w:before="200" w:line-rule="auto"/>
        <w:ind w:firstLine="540"/>
        <w:jc w:val="both"/>
      </w:pPr>
      <w:r>
        <w:rPr>
          <w:sz w:val="20"/>
        </w:rPr>
        <w:t xml:space="preserve">порядок отзыва заявок, порядок возврата заявок, определяющий в том числе основания для возврата заявок, порядок внесения изменений в заявки;</w:t>
      </w:r>
    </w:p>
    <w:p>
      <w:pPr>
        <w:pStyle w:val="0"/>
        <w:spacing w:before="200" w:line-rule="auto"/>
        <w:ind w:firstLine="540"/>
        <w:jc w:val="both"/>
      </w:pPr>
      <w:r>
        <w:rPr>
          <w:sz w:val="20"/>
        </w:rPr>
        <w:t xml:space="preserve">правила рассмотрения и экспертизы заявок в соответствии с </w:t>
      </w:r>
      <w:hyperlink w:history="0" w:anchor="P195" w:tooltip="12. Рассмотрение заявок конкурсной комиссией осуществляется в 2 этапа.">
        <w:r>
          <w:rPr>
            <w:sz w:val="20"/>
            <w:color w:val="0000ff"/>
          </w:rPr>
          <w:t xml:space="preserve">пунктами 12</w:t>
        </w:r>
      </w:hyperlink>
      <w:r>
        <w:rPr>
          <w:sz w:val="20"/>
        </w:rPr>
        <w:t xml:space="preserve"> - </w:t>
      </w:r>
      <w:hyperlink w:history="0" w:anchor="P217" w:tooltip="18. Результаты конкурса оформляются протоколом заседания Совета научно-образовательных центров мирового уровня, в котором указываются победители конкурса.">
        <w:r>
          <w:rPr>
            <w:sz w:val="20"/>
            <w:color w:val="0000ff"/>
          </w:rPr>
          <w:t xml:space="preserve">18</w:t>
        </w:r>
      </w:hyperlink>
      <w:r>
        <w:rPr>
          <w:sz w:val="20"/>
        </w:rPr>
        <w:t xml:space="preserve"> настоящих Правил;</w:t>
      </w:r>
    </w:p>
    <w:p>
      <w:pPr>
        <w:pStyle w:val="0"/>
        <w:spacing w:before="200" w:line-rule="auto"/>
        <w:ind w:firstLine="540"/>
        <w:jc w:val="both"/>
      </w:pPr>
      <w:r>
        <w:rPr>
          <w:sz w:val="20"/>
        </w:rPr>
        <w:t xml:space="preserve">порядок предоставления участникам центра разъяснений положений объявления о проведении конкурса, даты начала и окончания срока такого предоставления;</w:t>
      </w:r>
    </w:p>
    <w:p>
      <w:pPr>
        <w:pStyle w:val="0"/>
        <w:spacing w:before="200" w:line-rule="auto"/>
        <w:ind w:firstLine="540"/>
        <w:jc w:val="both"/>
      </w:pPr>
      <w:r>
        <w:rPr>
          <w:sz w:val="20"/>
        </w:rPr>
        <w:t xml:space="preserve">срок, в течение которого победитель (победители) конкурса должен подписать соглашение о предоставлении гранта (далее - соглашение);</w:t>
      </w:r>
    </w:p>
    <w:p>
      <w:pPr>
        <w:pStyle w:val="0"/>
        <w:spacing w:before="200" w:line-rule="auto"/>
        <w:ind w:firstLine="540"/>
        <w:jc w:val="both"/>
      </w:pPr>
      <w:r>
        <w:rPr>
          <w:sz w:val="20"/>
        </w:rPr>
        <w:t xml:space="preserve">порядок и сроки внесения изменений в объявление о проведении конкурса;</w:t>
      </w:r>
    </w:p>
    <w:p>
      <w:pPr>
        <w:pStyle w:val="0"/>
        <w:jc w:val="both"/>
      </w:pPr>
      <w:r>
        <w:rPr>
          <w:sz w:val="20"/>
        </w:rPr>
        <w:t xml:space="preserve">(в ред. </w:t>
      </w:r>
      <w:hyperlink w:history="0" r:id="rId33" w:tooltip="Постановление Правительства РФ от 09.04.2022 N 63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09.04.2022 N 634)</w:t>
      </w:r>
    </w:p>
    <w:p>
      <w:pPr>
        <w:pStyle w:val="0"/>
        <w:spacing w:before="200" w:line-rule="auto"/>
        <w:ind w:firstLine="540"/>
        <w:jc w:val="both"/>
      </w:pPr>
      <w:r>
        <w:rPr>
          <w:sz w:val="20"/>
        </w:rPr>
        <w:t xml:space="preserve">предельный размер гранта;</w:t>
      </w:r>
    </w:p>
    <w:p>
      <w:pPr>
        <w:pStyle w:val="0"/>
        <w:spacing w:before="200" w:line-rule="auto"/>
        <w:ind w:firstLine="540"/>
        <w:jc w:val="both"/>
      </w:pPr>
      <w:r>
        <w:rPr>
          <w:sz w:val="20"/>
        </w:rPr>
        <w:t xml:space="preserve">условия признания победителя (победителей) конкурса уклонившимся от заключения соглашения;</w:t>
      </w:r>
    </w:p>
    <w:p>
      <w:pPr>
        <w:pStyle w:val="0"/>
        <w:spacing w:before="200" w:line-rule="auto"/>
        <w:ind w:firstLine="540"/>
        <w:jc w:val="both"/>
      </w:pPr>
      <w:r>
        <w:rPr>
          <w:sz w:val="20"/>
        </w:rPr>
        <w:t xml:space="preserve">критерии экспертизы заявок в целях последующего оказания государственной поддержки центров в соответствии с перечнем, предусмотренным </w:t>
      </w:r>
      <w:hyperlink w:history="0" w:anchor="P375" w:tooltip="ПЕРЕЧЕНЬ">
        <w:r>
          <w:rPr>
            <w:sz w:val="20"/>
            <w:color w:val="0000ff"/>
          </w:rPr>
          <w:t xml:space="preserve">приложением N 1</w:t>
        </w:r>
      </w:hyperlink>
      <w:r>
        <w:rPr>
          <w:sz w:val="20"/>
        </w:rPr>
        <w:t xml:space="preserve"> (далее - критерии экспертизы заявок);</w:t>
      </w:r>
    </w:p>
    <w:p>
      <w:pPr>
        <w:pStyle w:val="0"/>
        <w:spacing w:before="200" w:line-rule="auto"/>
        <w:ind w:firstLine="540"/>
        <w:jc w:val="both"/>
      </w:pPr>
      <w:r>
        <w:rPr>
          <w:sz w:val="20"/>
        </w:rPr>
        <w:t xml:space="preserve">дата размещения информации о результатах конкурса на едином портале, которая не может быть позднее 14 календарных дней, следующих за днем определения победителя (победителей) конкурса;</w:t>
      </w:r>
    </w:p>
    <w:p>
      <w:pPr>
        <w:pStyle w:val="0"/>
        <w:jc w:val="both"/>
      </w:pPr>
      <w:r>
        <w:rPr>
          <w:sz w:val="20"/>
        </w:rPr>
        <w:t xml:space="preserve">(в ред. </w:t>
      </w:r>
      <w:hyperlink w:history="0" r:id="rId34" w:tooltip="Постановление Правительства РФ от 09.04.2022 N 63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09.04.2022 N 634)</w:t>
      </w:r>
    </w:p>
    <w:p>
      <w:pPr>
        <w:pStyle w:val="0"/>
        <w:spacing w:before="200" w:line-rule="auto"/>
        <w:ind w:firstLine="540"/>
        <w:jc w:val="both"/>
      </w:pPr>
      <w:r>
        <w:rPr>
          <w:sz w:val="20"/>
        </w:rPr>
        <w:t xml:space="preserve">в) утратил силу. - </w:t>
      </w:r>
      <w:hyperlink w:history="0" r:id="rId35" w:tooltip="Постановление Правительства РФ от 09.04.2022 N 634 &quot;О внесении изменений в некоторые акты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09.04.2022 N 634;</w:t>
      </w:r>
    </w:p>
    <w:p>
      <w:pPr>
        <w:pStyle w:val="0"/>
        <w:spacing w:before="200" w:line-rule="auto"/>
        <w:ind w:firstLine="540"/>
        <w:jc w:val="both"/>
      </w:pPr>
      <w:r>
        <w:rPr>
          <w:sz w:val="20"/>
        </w:rPr>
        <w:t xml:space="preserve">г) обеспечивает проведение комплекса мер, необходимых для мониторинга достижения значения результата предоставления гранта и показателей, необходимых для достижения результата предоставления гранта, указанных в соглашении.</w:t>
      </w:r>
    </w:p>
    <w:p>
      <w:pPr>
        <w:pStyle w:val="0"/>
        <w:spacing w:before="200" w:line-rule="auto"/>
        <w:ind w:firstLine="540"/>
        <w:jc w:val="both"/>
      </w:pPr>
      <w:r>
        <w:rPr>
          <w:sz w:val="20"/>
        </w:rPr>
        <w:t xml:space="preserve">8(1). В состав конкурсной комиссии входят председатель конкурсной комиссии, заместитель председателя конкурсной комиссии, секретарь конкурсной комиссии и иные члены конкурсной комиссии, включая члена Общественного совета при Министерстве науки и высшего образования Российской Федерации. Общее количество членов конкурсной комиссии должно составлять не менее 5 человек.</w:t>
      </w:r>
    </w:p>
    <w:p>
      <w:pPr>
        <w:pStyle w:val="0"/>
        <w:spacing w:before="200" w:line-rule="auto"/>
        <w:ind w:firstLine="540"/>
        <w:jc w:val="both"/>
      </w:pPr>
      <w:r>
        <w:rPr>
          <w:sz w:val="20"/>
        </w:rPr>
        <w:t xml:space="preserve">Председатель конкурсной комиссии руководит деятельностью конкурсной комиссии, председательствует на заседаниях конкурсной комиссии и организует работу конкурсной комиссии.</w:t>
      </w:r>
    </w:p>
    <w:p>
      <w:pPr>
        <w:pStyle w:val="0"/>
        <w:spacing w:before="200" w:line-rule="auto"/>
        <w:ind w:firstLine="540"/>
        <w:jc w:val="both"/>
      </w:pPr>
      <w:r>
        <w:rPr>
          <w:sz w:val="20"/>
        </w:rPr>
        <w:t xml:space="preserve">В отсутствие председателя конкурсной комиссии его функции исполняет заместитель председателя конкурсной комиссии.</w:t>
      </w:r>
    </w:p>
    <w:p>
      <w:pPr>
        <w:pStyle w:val="0"/>
        <w:spacing w:before="200" w:line-rule="auto"/>
        <w:ind w:firstLine="540"/>
        <w:jc w:val="both"/>
      </w:pPr>
      <w:r>
        <w:rPr>
          <w:sz w:val="20"/>
        </w:rPr>
        <w:t xml:space="preserve">Секретарь конкурсной комиссии обеспечивает подготовку материалов к заседаниям конкурсной комиссии, своевременно уведомляет членов конкурсной комиссии о месте, дате и времени заседания конкурсной комиссии, ведет протоколы заседаний конкурсной комиссии и обеспечивает хранение документов, образующихся в процессе работы конкурсной комиссии.</w:t>
      </w:r>
    </w:p>
    <w:p>
      <w:pPr>
        <w:pStyle w:val="0"/>
        <w:spacing w:before="200" w:line-rule="auto"/>
        <w:ind w:firstLine="540"/>
        <w:jc w:val="both"/>
      </w:pPr>
      <w:r>
        <w:rPr>
          <w:sz w:val="20"/>
        </w:rPr>
        <w:t xml:space="preserve">Члены конкурсной комиссии принимают личное участие в работе конкурсной комиссии, а при невозможности присутствовать заблаговременно извещают об этом секретаря конкурсной комиссии по электронной почте, рассматривают заявки, а также предложения о внесении изменений в программы деятельности центров и в состав участников центра.</w:t>
      </w:r>
    </w:p>
    <w:p>
      <w:pPr>
        <w:pStyle w:val="0"/>
        <w:spacing w:before="200" w:line-rule="auto"/>
        <w:ind w:firstLine="540"/>
        <w:jc w:val="both"/>
      </w:pPr>
      <w:r>
        <w:rPr>
          <w:sz w:val="20"/>
        </w:rPr>
        <w:t xml:space="preserve">Информация о месте, дате и времени проведения заседания конкурсной комиссии направляется посредством электронной почты секретарем конкурсной комиссии членам конкурсной комиссии не позднее чем за 2 рабочих дня до дня проведения заседания конкурсной комиссии.</w:t>
      </w:r>
    </w:p>
    <w:p>
      <w:pPr>
        <w:pStyle w:val="0"/>
        <w:spacing w:before="200" w:line-rule="auto"/>
        <w:ind w:firstLine="540"/>
        <w:jc w:val="both"/>
      </w:pPr>
      <w:r>
        <w:rPr>
          <w:sz w:val="20"/>
        </w:rPr>
        <w:t xml:space="preserve">Работа конкурсной комиссии осуществляется в форме заседания, которое может быть проведено как очно, так и с использованием видео-конференц-связи.</w:t>
      </w:r>
    </w:p>
    <w:p>
      <w:pPr>
        <w:pStyle w:val="0"/>
        <w:spacing w:before="200" w:line-rule="auto"/>
        <w:ind w:firstLine="540"/>
        <w:jc w:val="both"/>
      </w:pPr>
      <w:r>
        <w:rPr>
          <w:sz w:val="20"/>
        </w:rPr>
        <w:t xml:space="preserve">Заседание конкурсной комиссии считается правомочным, если на нем присутствует не менее половины членов, входящих в состав конкурсной комиссии.</w:t>
      </w:r>
    </w:p>
    <w:p>
      <w:pPr>
        <w:pStyle w:val="0"/>
        <w:spacing w:before="200" w:line-rule="auto"/>
        <w:ind w:firstLine="540"/>
        <w:jc w:val="both"/>
      </w:pPr>
      <w:r>
        <w:rPr>
          <w:sz w:val="20"/>
        </w:rPr>
        <w:t xml:space="preserve">Конкурсная комиссия вправе привлекать экспертов для участия в ее заседаниях.</w:t>
      </w:r>
    </w:p>
    <w:p>
      <w:pPr>
        <w:pStyle w:val="0"/>
        <w:spacing w:before="200" w:line-rule="auto"/>
        <w:ind w:firstLine="540"/>
        <w:jc w:val="both"/>
      </w:pPr>
      <w:r>
        <w:rPr>
          <w:sz w:val="20"/>
        </w:rPr>
        <w:t xml:space="preserve">Решения конкурсной комиссии принимаются путем открытого голосования простым большинством голосов присутствующих на заседании членов, входящих в состав конкурсной комиссии. При равном количестве голосов голос председательствующего на заседании конкурсной комиссии является решающим.</w:t>
      </w:r>
    </w:p>
    <w:p>
      <w:pPr>
        <w:pStyle w:val="0"/>
        <w:spacing w:before="200" w:line-rule="auto"/>
        <w:ind w:firstLine="540"/>
        <w:jc w:val="both"/>
      </w:pPr>
      <w:r>
        <w:rPr>
          <w:sz w:val="20"/>
        </w:rPr>
        <w:t xml:space="preserve">Решения конкурсной комиссии оформляются протоколами. Копии протоколов заседаний конкурсной комиссии в течение 3 рабочих дней со дня проведения заседания конкурсной комиссии направляются секретарем конкурсной комиссии членам конкурсной комиссии.</w:t>
      </w:r>
    </w:p>
    <w:p>
      <w:pPr>
        <w:pStyle w:val="0"/>
        <w:jc w:val="both"/>
      </w:pPr>
      <w:r>
        <w:rPr>
          <w:sz w:val="20"/>
        </w:rPr>
        <w:t xml:space="preserve">(п. 8(1) введен </w:t>
      </w:r>
      <w:hyperlink w:history="0" r:id="rId36" w:tooltip="Постановление Правительства РФ от 09.04.2022 N 634 &quot;О внесении изменений в некоторые акты Правительства Российской Федерации&quot; {КонсультантПлюс}">
        <w:r>
          <w:rPr>
            <w:sz w:val="20"/>
            <w:color w:val="0000ff"/>
          </w:rPr>
          <w:t xml:space="preserve">Постановлением</w:t>
        </w:r>
      </w:hyperlink>
      <w:r>
        <w:rPr>
          <w:sz w:val="20"/>
        </w:rPr>
        <w:t xml:space="preserve"> Правительства РФ от 09.04.2022 N 634)</w:t>
      </w:r>
    </w:p>
    <w:bookmarkStart w:id="146" w:name="P146"/>
    <w:bookmarkEnd w:id="146"/>
    <w:p>
      <w:pPr>
        <w:pStyle w:val="0"/>
        <w:spacing w:before="200" w:line-rule="auto"/>
        <w:ind w:firstLine="540"/>
        <w:jc w:val="both"/>
      </w:pPr>
      <w:r>
        <w:rPr>
          <w:sz w:val="20"/>
        </w:rPr>
        <w:t xml:space="preserve">9. Для участия в конкурсе инициатор создания центра в течение 30 календарных дней со дня начала приема заявок представляет в Министерство науки и высшего образования Российской Федерации заявку, подписанную руководителем инициатора создания центра или лицом, его замещающим, и оформленную в соответствии с требованиями, указанными в объявлении о проведении конкурса, включающую в том числе следующие документы, подготовленные на русском языке (на бумажном носителе и в электронной форме):</w:t>
      </w:r>
    </w:p>
    <w:p>
      <w:pPr>
        <w:pStyle w:val="0"/>
        <w:jc w:val="both"/>
      </w:pPr>
      <w:r>
        <w:rPr>
          <w:sz w:val="20"/>
        </w:rPr>
        <w:t xml:space="preserve">(в ред. </w:t>
      </w:r>
      <w:hyperlink w:history="0" r:id="rId37" w:tooltip="Постановление Правительства РФ от 09.04.2022 N 63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09.04.2022 N 634)</w:t>
      </w:r>
    </w:p>
    <w:p>
      <w:pPr>
        <w:pStyle w:val="0"/>
        <w:spacing w:before="200" w:line-rule="auto"/>
        <w:ind w:firstLine="540"/>
        <w:jc w:val="both"/>
      </w:pPr>
      <w:r>
        <w:rPr>
          <w:sz w:val="20"/>
        </w:rPr>
        <w:t xml:space="preserve">а) сопроводительное письмо, подписанное руководителем инициатора создания центра или лицом, его замещающим (с представлением документов, подтверждающих полномочия указанного лица), включающее в том числе опись документов, содержащихся в заявке, а также письма, подписанные высшими должностными лицами субъектов Российской Федерации, на территориях которых осуществляют деятельность участники центра, о поддержке создания центра в связи со значимостью реализации проекта создания центра для субъектов Российской Федерации и с описанием участия субъектов Российской Федерации в создании и развитии центра;</w:t>
      </w:r>
    </w:p>
    <w:p>
      <w:pPr>
        <w:pStyle w:val="0"/>
        <w:spacing w:before="200" w:line-rule="auto"/>
        <w:ind w:firstLine="540"/>
        <w:jc w:val="both"/>
      </w:pPr>
      <w:r>
        <w:rPr>
          <w:sz w:val="20"/>
        </w:rPr>
        <w:t xml:space="preserve">б) программа деятельности центра;</w:t>
      </w:r>
    </w:p>
    <w:p>
      <w:pPr>
        <w:pStyle w:val="0"/>
        <w:spacing w:before="200" w:line-rule="auto"/>
        <w:ind w:firstLine="540"/>
        <w:jc w:val="both"/>
      </w:pPr>
      <w:r>
        <w:rPr>
          <w:sz w:val="20"/>
        </w:rPr>
        <w:t xml:space="preserve">в) проект программы деятельности ("дорожной карты") центра развития компетенций руководителей научных, научно-технических проектов и лабораторий;</w:t>
      </w:r>
    </w:p>
    <w:p>
      <w:pPr>
        <w:pStyle w:val="0"/>
        <w:spacing w:before="200" w:line-rule="auto"/>
        <w:ind w:firstLine="540"/>
        <w:jc w:val="both"/>
      </w:pPr>
      <w:r>
        <w:rPr>
          <w:sz w:val="20"/>
        </w:rPr>
        <w:t xml:space="preserve">г) выписка из Единого государственного реестра юридических лиц, заверенная в установленном порядке, или сведения о юридическом лице, полученные с официального сайта Федеральной налоговой службы в сети "Интернет" не позднее 30 календарных дней до дня подачи заявки - в отношении каждого участника центра (в случае непредставления такого документа Министерство науки и высшего образования Российской Федерации запрашивает его самостоятельно);</w:t>
      </w:r>
    </w:p>
    <w:p>
      <w:pPr>
        <w:pStyle w:val="0"/>
        <w:spacing w:before="200" w:line-rule="auto"/>
        <w:ind w:firstLine="540"/>
        <w:jc w:val="both"/>
      </w:pPr>
      <w:r>
        <w:rPr>
          <w:sz w:val="20"/>
        </w:rPr>
        <w:t xml:space="preserve">д) согласие каждого участника центра на участие в конкурсе с последующим (в случае принятия решения о предоставлении гранта) заключением получателем гранта соглашения с Министерством науки и высшего образования Российской Федерации, подписанное руководителем такого участника центра или иным уполномоченным лицом;</w:t>
      </w:r>
    </w:p>
    <w:p>
      <w:pPr>
        <w:pStyle w:val="0"/>
        <w:spacing w:before="200" w:line-rule="auto"/>
        <w:ind w:firstLine="540"/>
        <w:jc w:val="both"/>
      </w:pPr>
      <w:r>
        <w:rPr>
          <w:sz w:val="20"/>
        </w:rPr>
        <w:t xml:space="preserve">е) согласие учредителей всех участников центра на участие участников центра в конкурсе и последующее заключение участниками центра соглашения - для бюджетных и автономных учреждений, полномочия учредителя которых не осуществляются Министерством науки и высшего образования Российской Федерации и (или) Правительством Российской Федерации;</w:t>
      </w:r>
    </w:p>
    <w:p>
      <w:pPr>
        <w:pStyle w:val="0"/>
        <w:spacing w:before="200" w:line-rule="auto"/>
        <w:ind w:firstLine="540"/>
        <w:jc w:val="both"/>
      </w:pPr>
      <w:r>
        <w:rPr>
          <w:sz w:val="20"/>
        </w:rPr>
        <w:t xml:space="preserve">ж) подписанная руководителем или иным уполномоченным лицом, главным бухгалтером (при наличии) или иным должностным лицом участника центра, на которое возлагается ведение бухгалтерского учета, справка об отсутствии у участника центра по состоянию на 1-е число месяца, предшествующего месяцу, в котором подается заявка,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 в отношении каждого участника центра;</w:t>
      </w:r>
    </w:p>
    <w:p>
      <w:pPr>
        <w:pStyle w:val="0"/>
        <w:spacing w:before="200" w:line-rule="auto"/>
        <w:ind w:firstLine="540"/>
        <w:jc w:val="both"/>
      </w:pPr>
      <w:r>
        <w:rPr>
          <w:sz w:val="20"/>
        </w:rPr>
        <w:t xml:space="preserve">з) подписанная руководителем или иным уполномоченным лицом, главным бухгалтером (при наличии) или иным должностным лицом участника центра, на которое возлагается ведение бухгалтерского учета, справка об отсутствии у участника центра по состоянию на 1-е число месяца, предшествующего месяцу, в котором подается заявка, просроченной задолженности по возврату в федеральный бюджет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Российской Федерацией - в отношении каждого участника центра;</w:t>
      </w:r>
    </w:p>
    <w:p>
      <w:pPr>
        <w:pStyle w:val="0"/>
        <w:jc w:val="both"/>
      </w:pPr>
      <w:r>
        <w:rPr>
          <w:sz w:val="20"/>
        </w:rPr>
        <w:t xml:space="preserve">(в ред. </w:t>
      </w:r>
      <w:hyperlink w:history="0" r:id="rId38" w:tooltip="Постановление Правительства РФ от 09.04.2022 N 63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09.04.2022 N 634)</w:t>
      </w:r>
    </w:p>
    <w:p>
      <w:pPr>
        <w:pStyle w:val="0"/>
        <w:spacing w:before="200" w:line-rule="auto"/>
        <w:ind w:firstLine="540"/>
        <w:jc w:val="both"/>
      </w:pPr>
      <w:r>
        <w:rPr>
          <w:sz w:val="20"/>
        </w:rPr>
        <w:t xml:space="preserve">и) подписанная руководителем или иным уполномоченным лицом, главным бухгалтером (при наличии) или иным должностным лицом участника центра, на которое возлагается ведение бухгалтерского учета, справка, содержащая информацию о том, что участник центра по состоянию на 1-е число месяца, предшествующего месяцу, в котором подается заявка,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w:t>
      </w:r>
      <w:hyperlink w:history="0" r:id="rId39" w:tooltip="Приказ Минфина России от 13.11.2007 N 108н (ред. от 02.11.2017) &quot;Об утверждении Перечня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quot; (Зарегистрировано в Минюсте России 03.12.2007 N 10598) {КонсультантПлюс}">
        <w:r>
          <w:rPr>
            <w:sz w:val="20"/>
            <w:color w:val="0000ff"/>
          </w:rPr>
          <w:t xml:space="preserve">перечень</w:t>
        </w:r>
      </w:hyperlink>
      <w:r>
        <w:rPr>
          <w:sz w:val="20"/>
        </w:rP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 - в отношении каждого участника центра, являющегося коммерческой организацией;</w:t>
      </w:r>
    </w:p>
    <w:p>
      <w:pPr>
        <w:pStyle w:val="0"/>
        <w:jc w:val="both"/>
      </w:pPr>
      <w:r>
        <w:rPr>
          <w:sz w:val="20"/>
        </w:rPr>
        <w:t xml:space="preserve">(в ред. </w:t>
      </w:r>
      <w:hyperlink w:history="0" r:id="rId40" w:tooltip="Постановление Правительства РФ от 09.04.2022 N 63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09.04.2022 N 634)</w:t>
      </w:r>
    </w:p>
    <w:p>
      <w:pPr>
        <w:pStyle w:val="0"/>
        <w:spacing w:before="200" w:line-rule="auto"/>
        <w:ind w:firstLine="540"/>
        <w:jc w:val="both"/>
      </w:pPr>
      <w:r>
        <w:rPr>
          <w:sz w:val="20"/>
        </w:rPr>
        <w:t xml:space="preserve">к) подписанная руководителем или иным уполномоченным лицом, главным бухгалтером (при наличии) или иным должностным лицом участника центра, на которое возлагается ведение бухгалтерского учета, справка, содержащая информацию о том, что участник центра по состоянию на 1-е число месяца, предшествующего месяцу, в котором подается заявка, не является получателем средств из федерального бюджета на основании иных нормативных правовых актов Российской Федерации на цели, предусмотренные </w:t>
      </w:r>
      <w:hyperlink w:history="0" w:anchor="P52" w:tooltip="1. Настоящие Правила устанавливают цели, условия и порядок предоставления грантов в форме субсидий из федерального бюджета на оказание государственной поддержки научно-образовательных центров мирового уровня на основе интеграции образовательных организаций высшего образования и научных организаций и их кооперации с организациями, действующими в реальном секторе экономики, в рамках федерального проекта &quot;Развитие интеграционных процессов в сфере науки, высшего образования и индустрии&quot; национального проекта...">
        <w:r>
          <w:rPr>
            <w:sz w:val="20"/>
            <w:color w:val="0000ff"/>
          </w:rPr>
          <w:t xml:space="preserve">пунктом 1</w:t>
        </w:r>
      </w:hyperlink>
      <w:r>
        <w:rPr>
          <w:sz w:val="20"/>
        </w:rPr>
        <w:t xml:space="preserve"> настоящих Правил, - в отношении каждого участника центра;</w:t>
      </w:r>
    </w:p>
    <w:p>
      <w:pPr>
        <w:pStyle w:val="0"/>
        <w:spacing w:before="200" w:line-rule="auto"/>
        <w:ind w:firstLine="540"/>
        <w:jc w:val="both"/>
      </w:pPr>
      <w:r>
        <w:rPr>
          <w:sz w:val="20"/>
        </w:rPr>
        <w:t xml:space="preserve">л) подписанная руководителем или иным уполномоченным лицом участника центра справка, содержащая информацию о том, что участник центра по состоянию на 1-е число месяца, предшествующего месяцу, в котором подается заявка, не находится в процессе реорганизации (за исключением реорганизации в форме присоединения к участнику центра другого юридического лица), ликвидации, в отношении его не введена процедура банкротства, деятельность участника центра не приостановлена в порядке, предусмотренном законодательством Российской Федерации, - в отношении каждого участника центра;</w:t>
      </w:r>
    </w:p>
    <w:p>
      <w:pPr>
        <w:pStyle w:val="0"/>
        <w:spacing w:before="200" w:line-rule="auto"/>
        <w:ind w:firstLine="540"/>
        <w:jc w:val="both"/>
      </w:pPr>
      <w:r>
        <w:rPr>
          <w:sz w:val="20"/>
        </w:rPr>
        <w:t xml:space="preserve">м) справка о том, что по состоянию на 1-е число месяца, предшествующего месяцу, в котором подается заявка,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участника центра, подписанная руководителем участника центра или иным уполномоченным лицом, - в отношении каждого участника центра;</w:t>
      </w:r>
    </w:p>
    <w:p>
      <w:pPr>
        <w:pStyle w:val="0"/>
        <w:spacing w:before="200" w:line-rule="auto"/>
        <w:ind w:firstLine="540"/>
        <w:jc w:val="both"/>
      </w:pPr>
      <w:r>
        <w:rPr>
          <w:sz w:val="20"/>
        </w:rPr>
        <w:t xml:space="preserve">н) согласие участника центра на публикацию (размещение) в сети "Интернет" информации об участнике центра, содержащейся в заявке, представленной инициатором создания центра в соответствии с </w:t>
      </w:r>
      <w:hyperlink w:history="0" w:anchor="P146" w:tooltip="9. Для участия в конкурсе инициатор создания центра в течение 30 календарных дней со дня начала приема заявок представляет в Министерство науки и высшего образования Российской Федерации заявку, подписанную руководителем инициатора создания центра или лицом, его замещающим, и оформленную в соответствии с требованиями, указанными в объявлении о проведении конкурса, включающую в том числе следующие документы, подготовленные на русском языке (на бумажном носителе и в электронной форме):">
        <w:r>
          <w:rPr>
            <w:sz w:val="20"/>
            <w:color w:val="0000ff"/>
          </w:rPr>
          <w:t xml:space="preserve">пунктом 9</w:t>
        </w:r>
      </w:hyperlink>
      <w:r>
        <w:rPr>
          <w:sz w:val="20"/>
        </w:rPr>
        <w:t xml:space="preserve"> настоящих Правил, в части, касающейся участника центра, и иной информации об участнике центра, связанной с конкурсом, подписанное руководителем участника центра или иным уполномоченным лицом, - в отношении каждого участника центра.</w:t>
      </w:r>
    </w:p>
    <w:p>
      <w:pPr>
        <w:pStyle w:val="0"/>
        <w:spacing w:before="200" w:line-rule="auto"/>
        <w:ind w:firstLine="540"/>
        <w:jc w:val="both"/>
      </w:pPr>
      <w:r>
        <w:rPr>
          <w:sz w:val="20"/>
        </w:rPr>
        <w:t xml:space="preserve">9(1). Инициатор создания центра вправе подать не более одной заявки.</w:t>
      </w:r>
    </w:p>
    <w:p>
      <w:pPr>
        <w:pStyle w:val="0"/>
        <w:jc w:val="both"/>
      </w:pPr>
      <w:r>
        <w:rPr>
          <w:sz w:val="20"/>
        </w:rPr>
        <w:t xml:space="preserve">(п. 9(1) введен </w:t>
      </w:r>
      <w:hyperlink w:history="0" r:id="rId41" w:tooltip="Постановление Правительства РФ от 09.04.2022 N 634 &quot;О внесении изменений в некоторые акты Правительства Российской Федерации&quot; {КонсультантПлюс}">
        <w:r>
          <w:rPr>
            <w:sz w:val="20"/>
            <w:color w:val="0000ff"/>
          </w:rPr>
          <w:t xml:space="preserve">Постановлением</w:t>
        </w:r>
      </w:hyperlink>
      <w:r>
        <w:rPr>
          <w:sz w:val="20"/>
        </w:rPr>
        <w:t xml:space="preserve"> Правительства РФ от 09.04.2022 N 634)</w:t>
      </w:r>
    </w:p>
    <w:bookmarkStart w:id="165" w:name="P165"/>
    <w:bookmarkEnd w:id="165"/>
    <w:p>
      <w:pPr>
        <w:pStyle w:val="0"/>
        <w:spacing w:before="200" w:line-rule="auto"/>
        <w:ind w:firstLine="540"/>
        <w:jc w:val="both"/>
      </w:pPr>
      <w:r>
        <w:rPr>
          <w:sz w:val="20"/>
        </w:rPr>
        <w:t xml:space="preserve">10. Участники центра по состоянию на 1-е число месяца, предшествующего месяцу, в котором подается заявка, должны соответствовать следующим требованиям:</w:t>
      </w:r>
    </w:p>
    <w:p>
      <w:pPr>
        <w:pStyle w:val="0"/>
        <w:spacing w:before="200" w:line-rule="auto"/>
        <w:ind w:firstLine="540"/>
        <w:jc w:val="both"/>
      </w:pPr>
      <w:r>
        <w:rPr>
          <w:sz w:val="20"/>
        </w:rPr>
        <w:t xml:space="preserve">а) не иметь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pPr>
        <w:pStyle w:val="0"/>
        <w:spacing w:before="200" w:line-rule="auto"/>
        <w:ind w:firstLine="540"/>
        <w:jc w:val="both"/>
      </w:pPr>
      <w:r>
        <w:rPr>
          <w:sz w:val="20"/>
        </w:rPr>
        <w:t xml:space="preserve">б) не иметь просроченной задолженности по возврату в федеральный бюджет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Российской Федерацией;</w:t>
      </w:r>
    </w:p>
    <w:p>
      <w:pPr>
        <w:pStyle w:val="0"/>
        <w:jc w:val="both"/>
      </w:pPr>
      <w:r>
        <w:rPr>
          <w:sz w:val="20"/>
        </w:rPr>
        <w:t xml:space="preserve">(в ред. </w:t>
      </w:r>
      <w:hyperlink w:history="0" r:id="rId42" w:tooltip="Постановление Правительства РФ от 09.04.2022 N 63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09.04.2022 N 634)</w:t>
      </w:r>
    </w:p>
    <w:p>
      <w:pPr>
        <w:pStyle w:val="0"/>
        <w:spacing w:before="200" w:line-rule="auto"/>
        <w:ind w:firstLine="540"/>
        <w:jc w:val="both"/>
      </w:pPr>
      <w:r>
        <w:rPr>
          <w:sz w:val="20"/>
        </w:rPr>
        <w:t xml:space="preserve">в) не являться получателем средств из федерального бюджета в соответствии с иными нормативными правовыми актами Российской Федерации на цели, предусмотренные </w:t>
      </w:r>
      <w:hyperlink w:history="0" w:anchor="P52" w:tooltip="1. Настоящие Правила устанавливают цели, условия и порядок предоставления грантов в форме субсидий из федерального бюджета на оказание государственной поддержки научно-образовательных центров мирового уровня на основе интеграции образовательных организаций высшего образования и научных организаций и их кооперации с организациями, действующими в реальном секторе экономики, в рамках федерального проекта &quot;Развитие интеграционных процессов в сфере науки, высшего образования и индустрии&quot; национального проекта...">
        <w:r>
          <w:rPr>
            <w:sz w:val="20"/>
            <w:color w:val="0000ff"/>
          </w:rPr>
          <w:t xml:space="preserve">пунктом 1</w:t>
        </w:r>
      </w:hyperlink>
      <w:r>
        <w:rPr>
          <w:sz w:val="20"/>
        </w:rPr>
        <w:t xml:space="preserve"> настоящих Правил;</w:t>
      </w:r>
    </w:p>
    <w:p>
      <w:pPr>
        <w:pStyle w:val="0"/>
        <w:spacing w:before="200" w:line-rule="auto"/>
        <w:ind w:firstLine="540"/>
        <w:jc w:val="both"/>
      </w:pPr>
      <w:r>
        <w:rPr>
          <w:sz w:val="20"/>
        </w:rPr>
        <w:t xml:space="preserve">г) не являться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w:t>
      </w:r>
      <w:hyperlink w:history="0" r:id="rId43" w:tooltip="Приказ Минфина России от 13.11.2007 N 108н (ред. от 02.11.2017) &quot;Об утверждении Перечня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quot; (Зарегистрировано в Минюсте России 03.12.2007 N 10598) {КонсультантПлюс}">
        <w:r>
          <w:rPr>
            <w:sz w:val="20"/>
            <w:color w:val="0000ff"/>
          </w:rPr>
          <w:t xml:space="preserve">перечень</w:t>
        </w:r>
      </w:hyperlink>
      <w:r>
        <w:rPr>
          <w:sz w:val="20"/>
        </w:rP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 - в отношении каждого участника центра, являющегося коммерческой организацией;</w:t>
      </w:r>
    </w:p>
    <w:p>
      <w:pPr>
        <w:pStyle w:val="0"/>
        <w:jc w:val="both"/>
      </w:pPr>
      <w:r>
        <w:rPr>
          <w:sz w:val="20"/>
        </w:rPr>
        <w:t xml:space="preserve">(в ред. </w:t>
      </w:r>
      <w:hyperlink w:history="0" r:id="rId44" w:tooltip="Постановление Правительства РФ от 09.04.2022 N 63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09.04.2022 N 634)</w:t>
      </w:r>
    </w:p>
    <w:p>
      <w:pPr>
        <w:pStyle w:val="0"/>
        <w:spacing w:before="200" w:line-rule="auto"/>
        <w:ind w:firstLine="540"/>
        <w:jc w:val="both"/>
      </w:pPr>
      <w:r>
        <w:rPr>
          <w:sz w:val="20"/>
        </w:rPr>
        <w:t xml:space="preserve">д) участники центра не находятся в процессе реорганизации (за исключением реорганизации в форме присоединения к участнику центра другого юридического лица), ликвидации, в отношении их не введена процедура банкротства, деятельность участника центра не приостановлена в порядке, предусмотренном законодательством Российской Федерации;</w:t>
      </w:r>
    </w:p>
    <w:p>
      <w:pPr>
        <w:pStyle w:val="0"/>
        <w:spacing w:before="200" w:line-rule="auto"/>
        <w:ind w:firstLine="540"/>
        <w:jc w:val="both"/>
      </w:pPr>
      <w:r>
        <w:rPr>
          <w:sz w:val="20"/>
        </w:rPr>
        <w:t xml:space="preserve">е)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участника центра.</w:t>
      </w:r>
    </w:p>
    <w:bookmarkStart w:id="174" w:name="P174"/>
    <w:bookmarkEnd w:id="174"/>
    <w:p>
      <w:pPr>
        <w:pStyle w:val="0"/>
        <w:spacing w:before="200" w:line-rule="auto"/>
        <w:ind w:firstLine="540"/>
        <w:jc w:val="both"/>
      </w:pPr>
      <w:r>
        <w:rPr>
          <w:sz w:val="20"/>
        </w:rPr>
        <w:t xml:space="preserve">11. Программа деятельности центра должна содержать:</w:t>
      </w:r>
    </w:p>
    <w:p>
      <w:pPr>
        <w:pStyle w:val="0"/>
        <w:spacing w:before="200" w:line-rule="auto"/>
        <w:ind w:firstLine="540"/>
        <w:jc w:val="both"/>
      </w:pPr>
      <w:r>
        <w:rPr>
          <w:sz w:val="20"/>
        </w:rPr>
        <w:t xml:space="preserve">а) перечень направлений деятельности центра в соответствии с приоритетами научно-технологического развития Российской Федерации;</w:t>
      </w:r>
    </w:p>
    <w:p>
      <w:pPr>
        <w:pStyle w:val="0"/>
        <w:spacing w:before="200" w:line-rule="auto"/>
        <w:ind w:firstLine="540"/>
        <w:jc w:val="both"/>
      </w:pPr>
      <w:r>
        <w:rPr>
          <w:sz w:val="20"/>
        </w:rPr>
        <w:t xml:space="preserve">б) перечень участников центра с указанием их функций, а также с указанием получателей гранта;</w:t>
      </w:r>
    </w:p>
    <w:p>
      <w:pPr>
        <w:pStyle w:val="0"/>
        <w:spacing w:before="200" w:line-rule="auto"/>
        <w:ind w:firstLine="540"/>
        <w:jc w:val="both"/>
      </w:pPr>
      <w:r>
        <w:rPr>
          <w:sz w:val="20"/>
        </w:rPr>
        <w:t xml:space="preserve">в) при планировании создания новых объектов инфраструктуры в целях деятельности центра - сведения о таких объектах;</w:t>
      </w:r>
    </w:p>
    <w:p>
      <w:pPr>
        <w:pStyle w:val="0"/>
        <w:spacing w:before="200" w:line-rule="auto"/>
        <w:ind w:firstLine="540"/>
        <w:jc w:val="both"/>
      </w:pPr>
      <w:r>
        <w:rPr>
          <w:sz w:val="20"/>
        </w:rPr>
        <w:t xml:space="preserve">г) информацию о мерах государственной поддержки, предусмотренных </w:t>
      </w:r>
      <w:hyperlink w:history="0" w:anchor="P72" w:tooltip="4. Для консолидации мер государственной поддержки научно-технологической деятельности центра при подготовке и реализации программы деятельности центра могут использоваться формы государственной поддержки, установленные:">
        <w:r>
          <w:rPr>
            <w:sz w:val="20"/>
            <w:color w:val="0000ff"/>
          </w:rPr>
          <w:t xml:space="preserve">пунктом 4</w:t>
        </w:r>
      </w:hyperlink>
      <w:r>
        <w:rPr>
          <w:sz w:val="20"/>
        </w:rPr>
        <w:t xml:space="preserve"> настоящих Правил, и сведения о финансовом обеспечении программы деятельности центра, включая размеры финансовых средств, предоставляемых на эти цели инициатором создания центра, другими субъектами Российской Федерации, на территории которых осуществляют деятельность участники центра, а также о средствах внебюджетных источников (с указанием конкретных источников всех указанных средств);</w:t>
      </w:r>
    </w:p>
    <w:bookmarkStart w:id="179" w:name="P179"/>
    <w:bookmarkEnd w:id="179"/>
    <w:p>
      <w:pPr>
        <w:pStyle w:val="0"/>
        <w:spacing w:before="200" w:line-rule="auto"/>
        <w:ind w:firstLine="540"/>
        <w:jc w:val="both"/>
      </w:pPr>
      <w:r>
        <w:rPr>
          <w:sz w:val="20"/>
        </w:rPr>
        <w:t xml:space="preserve">д) следующие показатели деятельности участников центра за 3 года, предшествующие подаче заявки, а также показатели, планируемые к достижению в рамках реализации программы деятельности центра:</w:t>
      </w:r>
    </w:p>
    <w:p>
      <w:pPr>
        <w:pStyle w:val="0"/>
        <w:spacing w:before="200" w:line-rule="auto"/>
        <w:ind w:firstLine="540"/>
        <w:jc w:val="both"/>
      </w:pPr>
      <w:r>
        <w:rPr>
          <w:sz w:val="20"/>
        </w:rPr>
        <w:t xml:space="preserve">количество патентов на изобретения по областям, определяемым приоритетами научно-технологического развития Российской Федерации, зарегистрированных в Российской Федерации и (или) имеющих правовую охрану за рубежом (единиц);</w:t>
      </w:r>
    </w:p>
    <w:p>
      <w:pPr>
        <w:pStyle w:val="0"/>
        <w:spacing w:before="200" w:line-rule="auto"/>
        <w:ind w:firstLine="540"/>
        <w:jc w:val="both"/>
      </w:pPr>
      <w:r>
        <w:rPr>
          <w:sz w:val="20"/>
        </w:rPr>
        <w:t xml:space="preserve">количество статей в областях, определяемых приоритетами научно-технологического развития Российской Федерации, в научных изданиях, индексируемых в международных базах данных "Web of Science" и (или) "Scopus" (для федеральных государственных образовательных организаций высшего образования и научных организаций) (единиц);</w:t>
      </w:r>
    </w:p>
    <w:p>
      <w:pPr>
        <w:pStyle w:val="0"/>
        <w:spacing w:before="200" w:line-rule="auto"/>
        <w:ind w:firstLine="540"/>
        <w:jc w:val="both"/>
      </w:pPr>
      <w:r>
        <w:rPr>
          <w:sz w:val="20"/>
        </w:rPr>
        <w:t xml:space="preserve">объем выполненных работ и услуг, завершившихся изготовлением, предварительными и приемочными испытаниями опытного образца (опытной партии) (рублей);</w:t>
      </w:r>
    </w:p>
    <w:p>
      <w:pPr>
        <w:pStyle w:val="0"/>
        <w:spacing w:before="200" w:line-rule="auto"/>
        <w:ind w:firstLine="540"/>
        <w:jc w:val="both"/>
      </w:pPr>
      <w:r>
        <w:rPr>
          <w:sz w:val="20"/>
        </w:rPr>
        <w:t xml:space="preserve">количество разработанных и переданных для внедрения в производство в организациях, действующих в реальном секторе экономики, конкурентоспособных технологий и высокотехнологичной продукции (единиц);</w:t>
      </w:r>
    </w:p>
    <w:p>
      <w:pPr>
        <w:pStyle w:val="0"/>
        <w:spacing w:before="200" w:line-rule="auto"/>
        <w:ind w:firstLine="540"/>
        <w:jc w:val="both"/>
      </w:pPr>
      <w:r>
        <w:rPr>
          <w:sz w:val="20"/>
        </w:rPr>
        <w:t xml:space="preserve">доля исследователей в возрасте до 39 лет в общей численности исследователей (процентов);</w:t>
      </w:r>
    </w:p>
    <w:p>
      <w:pPr>
        <w:pStyle w:val="0"/>
        <w:spacing w:before="200" w:line-rule="auto"/>
        <w:ind w:firstLine="540"/>
        <w:jc w:val="both"/>
      </w:pPr>
      <w:r>
        <w:rPr>
          <w:sz w:val="20"/>
        </w:rPr>
        <w:t xml:space="preserve">доля работников организаций, участвующих в создании центра, прошедших обучение по дополнительным профессиональным программам в соответствии с направлениями деятельности центра (процентов);</w:t>
      </w:r>
    </w:p>
    <w:p>
      <w:pPr>
        <w:pStyle w:val="0"/>
        <w:spacing w:before="200" w:line-rule="auto"/>
        <w:ind w:firstLine="540"/>
        <w:jc w:val="both"/>
      </w:pPr>
      <w:r>
        <w:rPr>
          <w:sz w:val="20"/>
        </w:rPr>
        <w:t xml:space="preserve">количество иногородних обучающихся по образовательным программам высшего образования, прибывших из субъектов Российской Федерации, не участвующих в создании центра, а также иностранных обучающихся (человек);</w:t>
      </w:r>
    </w:p>
    <w:p>
      <w:pPr>
        <w:pStyle w:val="0"/>
        <w:spacing w:before="200" w:line-rule="auto"/>
        <w:ind w:firstLine="540"/>
        <w:jc w:val="both"/>
      </w:pPr>
      <w:r>
        <w:rPr>
          <w:sz w:val="20"/>
        </w:rPr>
        <w:t xml:space="preserve">количество лиц, завершивших обучение в центрах развития компетенций руководителей научных, научно-технических проектов и лабораторий в интересах развития региона (человек);</w:t>
      </w:r>
    </w:p>
    <w:p>
      <w:pPr>
        <w:pStyle w:val="0"/>
        <w:spacing w:before="200" w:line-rule="auto"/>
        <w:ind w:firstLine="540"/>
        <w:jc w:val="both"/>
      </w:pPr>
      <w:r>
        <w:rPr>
          <w:sz w:val="20"/>
        </w:rPr>
        <w:t xml:space="preserve">доля новой и усовершенствованной высокотехнологичной продукции в общем объеме отгруженной продукции (процентов);</w:t>
      </w:r>
    </w:p>
    <w:p>
      <w:pPr>
        <w:pStyle w:val="0"/>
        <w:spacing w:before="200" w:line-rule="auto"/>
        <w:ind w:firstLine="540"/>
        <w:jc w:val="both"/>
      </w:pPr>
      <w:r>
        <w:rPr>
          <w:sz w:val="20"/>
        </w:rPr>
        <w:t xml:space="preserve">техническая вооруженность сектора исследований и разработок (балансовая стоимость машин и оборудования в расчете на одного исследователя) (тыс. рублей/человек);</w:t>
      </w:r>
    </w:p>
    <w:p>
      <w:pPr>
        <w:pStyle w:val="0"/>
        <w:spacing w:before="200" w:line-rule="auto"/>
        <w:ind w:firstLine="540"/>
        <w:jc w:val="both"/>
      </w:pPr>
      <w:r>
        <w:rPr>
          <w:sz w:val="20"/>
        </w:rPr>
        <w:t xml:space="preserve">количество новых высокотехнологических рабочих мест (единиц);</w:t>
      </w:r>
    </w:p>
    <w:p>
      <w:pPr>
        <w:pStyle w:val="0"/>
        <w:spacing w:before="200" w:line-rule="auto"/>
        <w:ind w:firstLine="540"/>
        <w:jc w:val="both"/>
      </w:pPr>
      <w:r>
        <w:rPr>
          <w:sz w:val="20"/>
        </w:rPr>
        <w:t xml:space="preserve">численность исследователей, выполнявших научные исследования и разработки, на 10000 занятых в экономике субъекта Российской Федерации (человек);</w:t>
      </w:r>
    </w:p>
    <w:p>
      <w:pPr>
        <w:pStyle w:val="0"/>
        <w:spacing w:before="200" w:line-rule="auto"/>
        <w:ind w:firstLine="540"/>
        <w:jc w:val="both"/>
      </w:pPr>
      <w:r>
        <w:rPr>
          <w:sz w:val="20"/>
        </w:rPr>
        <w:t xml:space="preserve">объем финансовой поддержки из бюджета субъекта Российской Федерации и (или) субъектов Российской Федерации, на территории которых осуществляют деятельность участники центра, программы деятельности центра с использованием всех инструментов региональной поддержки (рублей);</w:t>
      </w:r>
    </w:p>
    <w:p>
      <w:pPr>
        <w:pStyle w:val="0"/>
        <w:spacing w:before="200" w:line-rule="auto"/>
        <w:ind w:firstLine="540"/>
        <w:jc w:val="both"/>
      </w:pPr>
      <w:r>
        <w:rPr>
          <w:sz w:val="20"/>
        </w:rPr>
        <w:t xml:space="preserve">наличие в субъекте Российской Федерации следующих инструментов развития: территорий опережающего развития, особых экономических зон, промышленных технопарков, индустриальных (промышленных) парков, промышленных кластеров, территориальных инновационных кластеров, инновационных научно-технологических центров (единиц);</w:t>
      </w:r>
    </w:p>
    <w:p>
      <w:pPr>
        <w:pStyle w:val="0"/>
        <w:spacing w:before="200" w:line-rule="auto"/>
        <w:ind w:firstLine="540"/>
        <w:jc w:val="both"/>
      </w:pPr>
      <w:r>
        <w:rPr>
          <w:sz w:val="20"/>
        </w:rPr>
        <w:t xml:space="preserve">доля внебюджетных средств в общем объеме финансового обеспечения программы деятельности центра (процентов).</w:t>
      </w:r>
    </w:p>
    <w:bookmarkStart w:id="195" w:name="P195"/>
    <w:bookmarkEnd w:id="195"/>
    <w:p>
      <w:pPr>
        <w:pStyle w:val="0"/>
        <w:spacing w:before="200" w:line-rule="auto"/>
        <w:ind w:firstLine="540"/>
        <w:jc w:val="both"/>
      </w:pPr>
      <w:r>
        <w:rPr>
          <w:sz w:val="20"/>
        </w:rPr>
        <w:t xml:space="preserve">12. Рассмотрение заявок конкурсной комиссией осуществляется в 2 этапа.</w:t>
      </w:r>
    </w:p>
    <w:p>
      <w:pPr>
        <w:pStyle w:val="0"/>
        <w:spacing w:before="200" w:line-rule="auto"/>
        <w:ind w:firstLine="540"/>
        <w:jc w:val="both"/>
      </w:pPr>
      <w:r>
        <w:rPr>
          <w:sz w:val="20"/>
        </w:rPr>
        <w:t xml:space="preserve">На первом этапе рассмотрения заявок конкурсная комиссия в течение 5 рабочих дней со дня окончания приема заявок осуществляет проверку участников центра на соответствие требованиям, установленным </w:t>
      </w:r>
      <w:hyperlink w:history="0" w:anchor="P165" w:tooltip="10. Участники центра по состоянию на 1-е число месяца, предшествующего месяцу, в котором подается заявка, должны соответствовать следующим требованиям:">
        <w:r>
          <w:rPr>
            <w:sz w:val="20"/>
            <w:color w:val="0000ff"/>
          </w:rPr>
          <w:t xml:space="preserve">пунктом 10</w:t>
        </w:r>
      </w:hyperlink>
      <w:r>
        <w:rPr>
          <w:sz w:val="20"/>
        </w:rPr>
        <w:t xml:space="preserve"> настоящих Правил, и проверку заявок на соответствие требованиям, установленным </w:t>
      </w:r>
      <w:hyperlink w:history="0" w:anchor="P146" w:tooltip="9. Для участия в конкурсе инициатор создания центра в течение 30 календарных дней со дня начала приема заявок представляет в Министерство науки и высшего образования Российской Федерации заявку, подписанную руководителем инициатора создания центра или лицом, его замещающим, и оформленную в соответствии с требованиями, указанными в объявлении о проведении конкурса, включающую в том числе следующие документы, подготовленные на русском языке (на бумажном носителе и в электронной форме):">
        <w:r>
          <w:rPr>
            <w:sz w:val="20"/>
            <w:color w:val="0000ff"/>
          </w:rPr>
          <w:t xml:space="preserve">пунктом 9</w:t>
        </w:r>
      </w:hyperlink>
      <w:r>
        <w:rPr>
          <w:sz w:val="20"/>
        </w:rPr>
        <w:t xml:space="preserve"> настоящих Правил, и принимает одно из следующих решений:</w:t>
      </w:r>
    </w:p>
    <w:p>
      <w:pPr>
        <w:pStyle w:val="0"/>
        <w:spacing w:before="200" w:line-rule="auto"/>
        <w:ind w:firstLine="540"/>
        <w:jc w:val="both"/>
      </w:pPr>
      <w:r>
        <w:rPr>
          <w:sz w:val="20"/>
        </w:rPr>
        <w:t xml:space="preserve">а) решение о допуске заявки к участию во втором этапе рассмотрения заявок;</w:t>
      </w:r>
    </w:p>
    <w:p>
      <w:pPr>
        <w:pStyle w:val="0"/>
        <w:spacing w:before="200" w:line-rule="auto"/>
        <w:ind w:firstLine="540"/>
        <w:jc w:val="both"/>
      </w:pPr>
      <w:r>
        <w:rPr>
          <w:sz w:val="20"/>
        </w:rPr>
        <w:t xml:space="preserve">б) решение об отклонении заявки от участия в конкурсе.</w:t>
      </w:r>
    </w:p>
    <w:p>
      <w:pPr>
        <w:pStyle w:val="0"/>
        <w:spacing w:before="200" w:line-rule="auto"/>
        <w:ind w:firstLine="540"/>
        <w:jc w:val="both"/>
      </w:pPr>
      <w:r>
        <w:rPr>
          <w:sz w:val="20"/>
        </w:rPr>
        <w:t xml:space="preserve">13. Основаниями для отклонения заявки от участия в конкурсе являются:</w:t>
      </w:r>
    </w:p>
    <w:p>
      <w:pPr>
        <w:pStyle w:val="0"/>
        <w:spacing w:before="200" w:line-rule="auto"/>
        <w:ind w:firstLine="540"/>
        <w:jc w:val="both"/>
      </w:pPr>
      <w:r>
        <w:rPr>
          <w:sz w:val="20"/>
        </w:rPr>
        <w:t xml:space="preserve">а) отсутствие одного или нескольких документов, указанных в </w:t>
      </w:r>
      <w:hyperlink w:history="0" w:anchor="P146" w:tooltip="9. Для участия в конкурсе инициатор создания центра в течение 30 календарных дней со дня начала приема заявок представляет в Министерство науки и высшего образования Российской Федерации заявку, подписанную руководителем инициатора создания центра или лицом, его замещающим, и оформленную в соответствии с требованиями, указанными в объявлении о проведении конкурса, включающую в том числе следующие документы, подготовленные на русском языке (на бумажном носителе и в электронной форме):">
        <w:r>
          <w:rPr>
            <w:sz w:val="20"/>
            <w:color w:val="0000ff"/>
          </w:rPr>
          <w:t xml:space="preserve">пункте 9</w:t>
        </w:r>
      </w:hyperlink>
      <w:r>
        <w:rPr>
          <w:sz w:val="20"/>
        </w:rPr>
        <w:t xml:space="preserve"> настоящих Правил;</w:t>
      </w:r>
    </w:p>
    <w:p>
      <w:pPr>
        <w:pStyle w:val="0"/>
        <w:spacing w:before="200" w:line-rule="auto"/>
        <w:ind w:firstLine="540"/>
        <w:jc w:val="both"/>
      </w:pPr>
      <w:r>
        <w:rPr>
          <w:sz w:val="20"/>
        </w:rPr>
        <w:t xml:space="preserve">б) отсутствие в программе деятельности центра одного или нескольких положений, предусмотренных </w:t>
      </w:r>
      <w:hyperlink w:history="0" w:anchor="P174" w:tooltip="11. Программа деятельности центра должна содержать:">
        <w:r>
          <w:rPr>
            <w:sz w:val="20"/>
            <w:color w:val="0000ff"/>
          </w:rPr>
          <w:t xml:space="preserve">пунктом 11</w:t>
        </w:r>
      </w:hyperlink>
      <w:r>
        <w:rPr>
          <w:sz w:val="20"/>
        </w:rPr>
        <w:t xml:space="preserve"> настоящих Правил;</w:t>
      </w:r>
    </w:p>
    <w:p>
      <w:pPr>
        <w:pStyle w:val="0"/>
        <w:spacing w:before="200" w:line-rule="auto"/>
        <w:ind w:firstLine="540"/>
        <w:jc w:val="both"/>
      </w:pPr>
      <w:r>
        <w:rPr>
          <w:sz w:val="20"/>
        </w:rPr>
        <w:t xml:space="preserve">в) отсутствие в программе деятельности центра одного или нескольких целевых индикаторов;</w:t>
      </w:r>
    </w:p>
    <w:p>
      <w:pPr>
        <w:pStyle w:val="0"/>
        <w:spacing w:before="200" w:line-rule="auto"/>
        <w:ind w:firstLine="540"/>
        <w:jc w:val="both"/>
      </w:pPr>
      <w:r>
        <w:rPr>
          <w:sz w:val="20"/>
        </w:rPr>
        <w:t xml:space="preserve">г) поступление заявки после установленного срока окончания приема заявок;</w:t>
      </w:r>
    </w:p>
    <w:p>
      <w:pPr>
        <w:pStyle w:val="0"/>
        <w:spacing w:before="200" w:line-rule="auto"/>
        <w:ind w:firstLine="540"/>
        <w:jc w:val="both"/>
      </w:pPr>
      <w:r>
        <w:rPr>
          <w:sz w:val="20"/>
        </w:rPr>
        <w:t xml:space="preserve">д) несоответствие участника центра требованиям, установленным </w:t>
      </w:r>
      <w:hyperlink w:history="0" w:anchor="P165" w:tooltip="10. Участники центра по состоянию на 1-е число месяца, предшествующего месяцу, в котором подается заявка, должны соответствовать следующим требованиям:">
        <w:r>
          <w:rPr>
            <w:sz w:val="20"/>
            <w:color w:val="0000ff"/>
          </w:rPr>
          <w:t xml:space="preserve">пунктом 10</w:t>
        </w:r>
      </w:hyperlink>
      <w:r>
        <w:rPr>
          <w:sz w:val="20"/>
        </w:rPr>
        <w:t xml:space="preserve"> настоящих Правил;</w:t>
      </w:r>
    </w:p>
    <w:p>
      <w:pPr>
        <w:pStyle w:val="0"/>
        <w:spacing w:before="200" w:line-rule="auto"/>
        <w:ind w:firstLine="540"/>
        <w:jc w:val="both"/>
      </w:pPr>
      <w:r>
        <w:rPr>
          <w:sz w:val="20"/>
        </w:rPr>
        <w:t xml:space="preserve">е) несоответствие представленных инициатором создания центра заявки и документов требованиям, определенным </w:t>
      </w:r>
      <w:hyperlink w:history="0" w:anchor="P146" w:tooltip="9. Для участия в конкурсе инициатор создания центра в течение 30 календарных дней со дня начала приема заявок представляет в Министерство науки и высшего образования Российской Федерации заявку, подписанную руководителем инициатора создания центра или лицом, его замещающим, и оформленную в соответствии с требованиями, указанными в объявлении о проведении конкурса, включающую в том числе следующие документы, подготовленные на русском языке (на бумажном носителе и в электронной форме):">
        <w:r>
          <w:rPr>
            <w:sz w:val="20"/>
            <w:color w:val="0000ff"/>
          </w:rPr>
          <w:t xml:space="preserve">пунктами 9</w:t>
        </w:r>
      </w:hyperlink>
      <w:r>
        <w:rPr>
          <w:sz w:val="20"/>
        </w:rPr>
        <w:t xml:space="preserve"> и </w:t>
      </w:r>
      <w:hyperlink w:history="0" w:anchor="P174" w:tooltip="11. Программа деятельности центра должна содержать:">
        <w:r>
          <w:rPr>
            <w:sz w:val="20"/>
            <w:color w:val="0000ff"/>
          </w:rPr>
          <w:t xml:space="preserve">11</w:t>
        </w:r>
      </w:hyperlink>
      <w:r>
        <w:rPr>
          <w:sz w:val="20"/>
        </w:rPr>
        <w:t xml:space="preserve"> настоящих Правил;</w:t>
      </w:r>
    </w:p>
    <w:p>
      <w:pPr>
        <w:pStyle w:val="0"/>
        <w:spacing w:before="200" w:line-rule="auto"/>
        <w:ind w:firstLine="540"/>
        <w:jc w:val="both"/>
      </w:pPr>
      <w:r>
        <w:rPr>
          <w:sz w:val="20"/>
        </w:rPr>
        <w:t xml:space="preserve">ж) недостоверность информации в представленных инициатором создания центра документах, указанных в </w:t>
      </w:r>
      <w:hyperlink w:history="0" w:anchor="P146" w:tooltip="9. Для участия в конкурсе инициатор создания центра в течение 30 календарных дней со дня начала приема заявок представляет в Министерство науки и высшего образования Российской Федерации заявку, подписанную руководителем инициатора создания центра или лицом, его замещающим, и оформленную в соответствии с требованиями, указанными в объявлении о проведении конкурса, включающую в том числе следующие документы, подготовленные на русском языке (на бумажном носителе и в электронной форме):">
        <w:r>
          <w:rPr>
            <w:sz w:val="20"/>
            <w:color w:val="0000ff"/>
          </w:rPr>
          <w:t xml:space="preserve">пункте 9</w:t>
        </w:r>
      </w:hyperlink>
      <w:r>
        <w:rPr>
          <w:sz w:val="20"/>
        </w:rPr>
        <w:t xml:space="preserve"> настоящих Правил, в том числе информации о месте нахождения и адресе участников центра.</w:t>
      </w:r>
    </w:p>
    <w:p>
      <w:pPr>
        <w:pStyle w:val="0"/>
        <w:spacing w:before="200" w:line-rule="auto"/>
        <w:ind w:firstLine="540"/>
        <w:jc w:val="both"/>
      </w:pPr>
      <w:r>
        <w:rPr>
          <w:sz w:val="20"/>
        </w:rPr>
        <w:t xml:space="preserve">14. Информация о результатах первого этапа рассмотрения заявок, включающая информацию о заявках, допущенных ко второму этапу рассмотрения заявок, а также о заявках, которым отказано в участии в конкурсе (с указанием причин отказа), фиксируется в протоколе первого этапа рассмотрения заявок, который подписывается председателем конкурсной комиссии и секретарем конкурсной комиссии, и размещается на едином портале не позднее 2 рабочих дней после подписания конкурсной комиссией протокола первого этапа рассмотрения заявок.</w:t>
      </w:r>
    </w:p>
    <w:p>
      <w:pPr>
        <w:pStyle w:val="0"/>
        <w:jc w:val="both"/>
      </w:pPr>
      <w:r>
        <w:rPr>
          <w:sz w:val="20"/>
        </w:rPr>
        <w:t xml:space="preserve">(п. 14 в ред. </w:t>
      </w:r>
      <w:hyperlink w:history="0" r:id="rId45" w:tooltip="Постановление Правительства РФ от 09.04.2022 N 63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09.04.2022 N 634)</w:t>
      </w:r>
    </w:p>
    <w:p>
      <w:pPr>
        <w:pStyle w:val="0"/>
        <w:spacing w:before="200" w:line-rule="auto"/>
        <w:ind w:firstLine="540"/>
        <w:jc w:val="both"/>
      </w:pPr>
      <w:r>
        <w:rPr>
          <w:sz w:val="20"/>
        </w:rPr>
        <w:t xml:space="preserve">15. На втором этапе рассмотрения заявок конкурсная комиссия не позднее 10 рабочих дней со дня размещения на едином портале протокола первого этапа рассмотрения заявок проводит экспертизу заявок, допущенных к участию в конкурсе, на основании критериев оценки заявки.</w:t>
      </w:r>
    </w:p>
    <w:p>
      <w:pPr>
        <w:pStyle w:val="0"/>
        <w:jc w:val="both"/>
      </w:pPr>
      <w:r>
        <w:rPr>
          <w:sz w:val="20"/>
        </w:rPr>
        <w:t xml:space="preserve">(в ред. </w:t>
      </w:r>
      <w:hyperlink w:history="0" r:id="rId46" w:tooltip="Постановление Правительства РФ от 09.04.2022 N 63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09.04.2022 N 634)</w:t>
      </w:r>
    </w:p>
    <w:p>
      <w:pPr>
        <w:pStyle w:val="0"/>
        <w:spacing w:before="200" w:line-rule="auto"/>
        <w:ind w:firstLine="540"/>
        <w:jc w:val="both"/>
      </w:pPr>
      <w:r>
        <w:rPr>
          <w:sz w:val="20"/>
        </w:rPr>
        <w:t xml:space="preserve">На основании экспертизы конкурсная комиссия присваивает каждой заявке порядковый номер (в порядке уменьшения суммы набранных при экспертизе баллов). Заявке, набравшей наибольшую сумму баллов, присваивается номер 1. Если 2 или более заявки набрали при проведении экспертизы одинаковую сумму баллов, меньший порядковый номер присваивается заявке, поданной первой.</w:t>
      </w:r>
    </w:p>
    <w:p>
      <w:pPr>
        <w:pStyle w:val="0"/>
        <w:spacing w:before="200" w:line-rule="auto"/>
        <w:ind w:firstLine="540"/>
        <w:jc w:val="both"/>
      </w:pPr>
      <w:r>
        <w:rPr>
          <w:sz w:val="20"/>
        </w:rPr>
        <w:t xml:space="preserve">Информация о дате, времени, месте проведения экспертизы заявок, о результатах экспертизы каждой заявки, допущенной к участию в конкурсе, о баллах, присвоенных каждой заявке по результатам экспертизы, фиксируется в протоколе второго этапа рассмотрения заявок, который подписывается председателем конкурсной комиссии и секретарем конкурсной комиссии и размещается на едином портале не позднее 2 рабочих дней со дня подписания конкурсной комиссией протокола второго этапа рассмотрения заявок.</w:t>
      </w:r>
    </w:p>
    <w:p>
      <w:pPr>
        <w:pStyle w:val="0"/>
        <w:jc w:val="both"/>
      </w:pPr>
      <w:r>
        <w:rPr>
          <w:sz w:val="20"/>
        </w:rPr>
        <w:t xml:space="preserve">(в ред. </w:t>
      </w:r>
      <w:hyperlink w:history="0" r:id="rId47" w:tooltip="Постановление Правительства РФ от 09.04.2022 N 63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09.04.2022 N 634)</w:t>
      </w:r>
    </w:p>
    <w:bookmarkStart w:id="214" w:name="P214"/>
    <w:bookmarkEnd w:id="214"/>
    <w:p>
      <w:pPr>
        <w:pStyle w:val="0"/>
        <w:spacing w:before="200" w:line-rule="auto"/>
        <w:ind w:firstLine="540"/>
        <w:jc w:val="both"/>
      </w:pPr>
      <w:r>
        <w:rPr>
          <w:sz w:val="20"/>
        </w:rPr>
        <w:t xml:space="preserve">16. Результаты экспертизы заявок, а также документы, предусмотренные </w:t>
      </w:r>
      <w:hyperlink w:history="0" w:anchor="P146" w:tooltip="9. Для участия в конкурсе инициатор создания центра в течение 30 календарных дней со дня начала приема заявок представляет в Министерство науки и высшего образования Российской Федерации заявку, подписанную руководителем инициатора создания центра или лицом, его замещающим, и оформленную в соответствии с требованиями, указанными в объявлении о проведении конкурса, включающую в том числе следующие документы, подготовленные на русском языке (на бумажном носителе и в электронной форме):">
        <w:r>
          <w:rPr>
            <w:sz w:val="20"/>
            <w:color w:val="0000ff"/>
          </w:rPr>
          <w:t xml:space="preserve">пунктом 9</w:t>
        </w:r>
      </w:hyperlink>
      <w:r>
        <w:rPr>
          <w:sz w:val="20"/>
        </w:rPr>
        <w:t xml:space="preserve"> настоящих Правил, направляются Министерством науки и высшего образования Российской Федерации не позднее 1 июня текущего года в Совет научно-образовательных центров мирового уровня, который принимает решение об определении победителей конкурса в срок не позднее 1 августа текущего года.</w:t>
      </w:r>
    </w:p>
    <w:p>
      <w:pPr>
        <w:pStyle w:val="0"/>
        <w:spacing w:before="200" w:line-rule="auto"/>
        <w:ind w:firstLine="540"/>
        <w:jc w:val="both"/>
      </w:pPr>
      <w:r>
        <w:rPr>
          <w:sz w:val="20"/>
        </w:rPr>
        <w:t xml:space="preserve">17. Совет научно-образовательных центров мирового уровня рассматривает представленные в соответствии с </w:t>
      </w:r>
      <w:hyperlink w:history="0" w:anchor="P214" w:tooltip="16. Результаты экспертизы заявок, а также документы, предусмотренные пунктом 9 настоящих Правил, направляются Министерством науки и высшего образования Российской Федерации не позднее 1 июня текущего года в Совет научно-образовательных центров мирового уровня, который принимает решение об определении победителей конкурса в срок не позднее 1 августа текущего года.">
        <w:r>
          <w:rPr>
            <w:sz w:val="20"/>
            <w:color w:val="0000ff"/>
          </w:rPr>
          <w:t xml:space="preserve">пунктом 16</w:t>
        </w:r>
      </w:hyperlink>
      <w:r>
        <w:rPr>
          <w:sz w:val="20"/>
        </w:rPr>
        <w:t xml:space="preserve"> настоящих Правил документы и заслушивает инициаторов создания центров.</w:t>
      </w:r>
    </w:p>
    <w:p>
      <w:pPr>
        <w:pStyle w:val="0"/>
        <w:spacing w:before="200" w:line-rule="auto"/>
        <w:ind w:firstLine="540"/>
        <w:jc w:val="both"/>
      </w:pPr>
      <w:r>
        <w:rPr>
          <w:sz w:val="20"/>
        </w:rPr>
        <w:t xml:space="preserve">При подведении итогов конкурса учитывается в том числе поддержка программы деятельности центра субъектами Российской Федерации, на территориях которых осуществлена государственная регистрация участников центра.</w:t>
      </w:r>
    </w:p>
    <w:bookmarkStart w:id="217" w:name="P217"/>
    <w:bookmarkEnd w:id="217"/>
    <w:p>
      <w:pPr>
        <w:pStyle w:val="0"/>
        <w:spacing w:before="200" w:line-rule="auto"/>
        <w:ind w:firstLine="540"/>
        <w:jc w:val="both"/>
      </w:pPr>
      <w:r>
        <w:rPr>
          <w:sz w:val="20"/>
        </w:rPr>
        <w:t xml:space="preserve">18. Результаты конкурса оформляются протоколом заседания Совета научно-образовательных центров мирового уровня, в котором указываются победители конкурса.</w:t>
      </w:r>
    </w:p>
    <w:p>
      <w:pPr>
        <w:pStyle w:val="0"/>
        <w:spacing w:before="200" w:line-rule="auto"/>
        <w:ind w:firstLine="540"/>
        <w:jc w:val="both"/>
      </w:pPr>
      <w:r>
        <w:rPr>
          <w:sz w:val="20"/>
        </w:rPr>
        <w:t xml:space="preserve">19. Перечень победителей конкурса ежегодно утверждается актом Правительства Российской Федерации.</w:t>
      </w:r>
    </w:p>
    <w:p>
      <w:pPr>
        <w:pStyle w:val="0"/>
        <w:spacing w:before="200" w:line-rule="auto"/>
        <w:ind w:firstLine="540"/>
        <w:jc w:val="both"/>
      </w:pPr>
      <w:r>
        <w:rPr>
          <w:sz w:val="20"/>
        </w:rPr>
        <w:t xml:space="preserve">Министерство науки и высшего образования Российской Федерации на основании протокола, указанного в </w:t>
      </w:r>
      <w:hyperlink w:history="0" w:anchor="P217" w:tooltip="18. Результаты конкурса оформляются протоколом заседания Совета научно-образовательных центров мирового уровня, в котором указываются победители конкурса.">
        <w:r>
          <w:rPr>
            <w:sz w:val="20"/>
            <w:color w:val="0000ff"/>
          </w:rPr>
          <w:t xml:space="preserve">пункте 18</w:t>
        </w:r>
      </w:hyperlink>
      <w:r>
        <w:rPr>
          <w:sz w:val="20"/>
        </w:rPr>
        <w:t xml:space="preserve"> настоящих Правил, в установленном порядке вносит в Правительство Российской Федерации проект соответствующего акта Правительства Российской Федерации.</w:t>
      </w:r>
    </w:p>
    <w:bookmarkStart w:id="220" w:name="P220"/>
    <w:bookmarkEnd w:id="220"/>
    <w:p>
      <w:pPr>
        <w:pStyle w:val="0"/>
        <w:spacing w:before="200" w:line-rule="auto"/>
        <w:ind w:firstLine="540"/>
        <w:jc w:val="both"/>
      </w:pPr>
      <w:r>
        <w:rPr>
          <w:sz w:val="20"/>
        </w:rPr>
        <w:t xml:space="preserve">20. Центры, победившие в конкурсе, не позднее 1 апреля, начиная с года, следующего за годом определения их победителями, направляют в Министерство науки и высшего образования Российской Федерации ежегодные </w:t>
      </w:r>
      <w:hyperlink w:history="0" r:id="rId48" w:tooltip="&quot;Методические рекомендации по подготовке отчетов о результатах реализации программ деятельности и предложений о внесении изменений в программы деятельности и в состав участников научно-образовательных центров мирового уровня&quot; (утв. Минобрнауки России 03.03.2022) {КонсультантПлюс}">
        <w:r>
          <w:rPr>
            <w:sz w:val="20"/>
            <w:color w:val="0000ff"/>
          </w:rPr>
          <w:t xml:space="preserve">отчеты</w:t>
        </w:r>
      </w:hyperlink>
      <w:r>
        <w:rPr>
          <w:sz w:val="20"/>
        </w:rPr>
        <w:t xml:space="preserve"> о результатах реализации программ деятельности центров, а также при необходимости предложения о внесении изменений в программы деятельности центров и в состав участников центра, представляемые инициаторами создания центров.</w:t>
      </w:r>
    </w:p>
    <w:bookmarkStart w:id="221" w:name="P221"/>
    <w:bookmarkEnd w:id="221"/>
    <w:p>
      <w:pPr>
        <w:pStyle w:val="0"/>
        <w:spacing w:before="200" w:line-rule="auto"/>
        <w:ind w:firstLine="540"/>
        <w:jc w:val="both"/>
      </w:pPr>
      <w:r>
        <w:rPr>
          <w:sz w:val="20"/>
        </w:rPr>
        <w:t xml:space="preserve">20(1). Предложения о внесении изменений в программы деятельности центров и состав участников центра рассматриваются до 20 рабочих дней конкурсной комиссией в следующих случаях:</w:t>
      </w:r>
    </w:p>
    <w:p>
      <w:pPr>
        <w:pStyle w:val="0"/>
        <w:spacing w:before="200" w:line-rule="auto"/>
        <w:ind w:firstLine="540"/>
        <w:jc w:val="both"/>
      </w:pPr>
      <w:r>
        <w:rPr>
          <w:sz w:val="20"/>
        </w:rPr>
        <w:t xml:space="preserve">а) необходимость корректировки текста программы деятельности центра, проводимой в связи с изменениями структуры и кадрового состава органов исполнительной власти инициаторов создания центра, а также в связи с организационно-штатными изменениями участников центра;</w:t>
      </w:r>
    </w:p>
    <w:p>
      <w:pPr>
        <w:pStyle w:val="0"/>
        <w:spacing w:before="200" w:line-rule="auto"/>
        <w:ind w:firstLine="540"/>
        <w:jc w:val="both"/>
      </w:pPr>
      <w:r>
        <w:rPr>
          <w:sz w:val="20"/>
        </w:rPr>
        <w:t xml:space="preserve">б) корректировка значений показателей, планируемых к достижению в рамках реализации программы деятельности центра, указанных в </w:t>
      </w:r>
      <w:hyperlink w:history="0" w:anchor="P179" w:tooltip="д) следующие показатели деятельности участников центра за 3 года, предшествующие подаче заявки, а также показатели, планируемые к достижению в рамках реализации программы деятельности центра:">
        <w:r>
          <w:rPr>
            <w:sz w:val="20"/>
            <w:color w:val="0000ff"/>
          </w:rPr>
          <w:t xml:space="preserve">подпункте "д" пункта 11</w:t>
        </w:r>
      </w:hyperlink>
      <w:r>
        <w:rPr>
          <w:sz w:val="20"/>
        </w:rPr>
        <w:t xml:space="preserve"> настоящих Правил, в размере не более 10 процентов первоначально установленных значений;</w:t>
      </w:r>
    </w:p>
    <w:p>
      <w:pPr>
        <w:pStyle w:val="0"/>
        <w:spacing w:before="200" w:line-rule="auto"/>
        <w:ind w:firstLine="540"/>
        <w:jc w:val="both"/>
      </w:pPr>
      <w:r>
        <w:rPr>
          <w:sz w:val="20"/>
        </w:rPr>
        <w:t xml:space="preserve">в) включение в состав участников центра новых участников;</w:t>
      </w:r>
    </w:p>
    <w:p>
      <w:pPr>
        <w:pStyle w:val="0"/>
        <w:spacing w:before="200" w:line-rule="auto"/>
        <w:ind w:firstLine="540"/>
        <w:jc w:val="both"/>
      </w:pPr>
      <w:r>
        <w:rPr>
          <w:sz w:val="20"/>
        </w:rPr>
        <w:t xml:space="preserve">г) перераспределение средств гранта по направлениям расходов, указанным в </w:t>
      </w:r>
      <w:hyperlink w:history="0" w:anchor="P301" w:tooltip="35. Грант предоставляется на финансовое обеспечение затрат, связанных с достижением целей, указанных в пункте 1 настоящих Правил, и включающих в себя следующие направления расходов:">
        <w:r>
          <w:rPr>
            <w:sz w:val="20"/>
            <w:color w:val="0000ff"/>
          </w:rPr>
          <w:t xml:space="preserve">пункте 35</w:t>
        </w:r>
      </w:hyperlink>
      <w:r>
        <w:rPr>
          <w:sz w:val="20"/>
        </w:rPr>
        <w:t xml:space="preserve"> настоящих Правил.</w:t>
      </w:r>
    </w:p>
    <w:p>
      <w:pPr>
        <w:pStyle w:val="0"/>
        <w:jc w:val="both"/>
      </w:pPr>
      <w:r>
        <w:rPr>
          <w:sz w:val="20"/>
        </w:rPr>
        <w:t xml:space="preserve">(п. 20(1) введен </w:t>
      </w:r>
      <w:hyperlink w:history="0" r:id="rId49" w:tooltip="Постановление Правительства РФ от 09.04.2022 N 634 &quot;О внесении изменений в некоторые акты Правительства Российской Федерации&quot; {КонсультантПлюс}">
        <w:r>
          <w:rPr>
            <w:sz w:val="20"/>
            <w:color w:val="0000ff"/>
          </w:rPr>
          <w:t xml:space="preserve">Постановлением</w:t>
        </w:r>
      </w:hyperlink>
      <w:r>
        <w:rPr>
          <w:sz w:val="20"/>
        </w:rPr>
        <w:t xml:space="preserve"> Правительства РФ от 09.04.2022 N 634)</w:t>
      </w:r>
    </w:p>
    <w:bookmarkStart w:id="227" w:name="P227"/>
    <w:bookmarkEnd w:id="227"/>
    <w:p>
      <w:pPr>
        <w:pStyle w:val="0"/>
        <w:spacing w:before="200" w:line-rule="auto"/>
        <w:ind w:firstLine="540"/>
        <w:jc w:val="both"/>
      </w:pPr>
      <w:r>
        <w:rPr>
          <w:sz w:val="20"/>
        </w:rPr>
        <w:t xml:space="preserve">20(2). Конкурсная комиссия рассматривает предложения о внесении изменений в программы деятельности центров и в состав участников центра, представляемые инициаторами создания центров в соответствии с </w:t>
      </w:r>
      <w:hyperlink w:history="0" w:anchor="P221" w:tooltip="20(1). Предложения о внесении изменений в программы деятельности центров и состав участников центра рассматриваются до 20 рабочих дней конкурсной комиссией в следующих случаях:">
        <w:r>
          <w:rPr>
            <w:sz w:val="20"/>
            <w:color w:val="0000ff"/>
          </w:rPr>
          <w:t xml:space="preserve">пунктом 20(1)</w:t>
        </w:r>
      </w:hyperlink>
      <w:r>
        <w:rPr>
          <w:sz w:val="20"/>
        </w:rPr>
        <w:t xml:space="preserve"> настоящих Правил, и принимает одно из следующих решений:</w:t>
      </w:r>
    </w:p>
    <w:p>
      <w:pPr>
        <w:pStyle w:val="0"/>
        <w:spacing w:before="200" w:line-rule="auto"/>
        <w:ind w:firstLine="540"/>
        <w:jc w:val="both"/>
      </w:pPr>
      <w:r>
        <w:rPr>
          <w:sz w:val="20"/>
        </w:rPr>
        <w:t xml:space="preserve">а) решение об одобрении предложения о внесении изменений в программы деятельности центров и в состав участников центра;</w:t>
      </w:r>
    </w:p>
    <w:p>
      <w:pPr>
        <w:pStyle w:val="0"/>
        <w:spacing w:before="200" w:line-rule="auto"/>
        <w:ind w:firstLine="540"/>
        <w:jc w:val="both"/>
      </w:pPr>
      <w:r>
        <w:rPr>
          <w:sz w:val="20"/>
        </w:rPr>
        <w:t xml:space="preserve">б) решение об отклонении предложения о внесении изменений в программы деятельности центров и в состав участников центра.</w:t>
      </w:r>
    </w:p>
    <w:p>
      <w:pPr>
        <w:pStyle w:val="0"/>
        <w:jc w:val="both"/>
      </w:pPr>
      <w:r>
        <w:rPr>
          <w:sz w:val="20"/>
        </w:rPr>
        <w:t xml:space="preserve">(п. 20(2) введен </w:t>
      </w:r>
      <w:hyperlink w:history="0" r:id="rId50" w:tooltip="Постановление Правительства РФ от 09.04.2022 N 634 &quot;О внесении изменений в некоторые акты Правительства Российской Федерации&quot; {КонсультантПлюс}">
        <w:r>
          <w:rPr>
            <w:sz w:val="20"/>
            <w:color w:val="0000ff"/>
          </w:rPr>
          <w:t xml:space="preserve">Постановлением</w:t>
        </w:r>
      </w:hyperlink>
      <w:r>
        <w:rPr>
          <w:sz w:val="20"/>
        </w:rPr>
        <w:t xml:space="preserve"> Правительства РФ от 09.04.2022 N 634)</w:t>
      </w:r>
    </w:p>
    <w:p>
      <w:pPr>
        <w:pStyle w:val="0"/>
        <w:spacing w:before="200" w:line-rule="auto"/>
        <w:ind w:firstLine="540"/>
        <w:jc w:val="both"/>
      </w:pPr>
      <w:r>
        <w:rPr>
          <w:sz w:val="20"/>
        </w:rPr>
        <w:t xml:space="preserve">20(3). Основаниями для отклонения предложений о внесении изменений в программы деятельности центров и в состав участников центра являются:</w:t>
      </w:r>
    </w:p>
    <w:p>
      <w:pPr>
        <w:pStyle w:val="0"/>
        <w:spacing w:before="200" w:line-rule="auto"/>
        <w:ind w:firstLine="540"/>
        <w:jc w:val="both"/>
      </w:pPr>
      <w:r>
        <w:rPr>
          <w:sz w:val="20"/>
        </w:rPr>
        <w:t xml:space="preserve">а) несоответствие показателей, планируемых к достижению в рамках реализации программы деятельности центра, показателям, указанным в </w:t>
      </w:r>
      <w:hyperlink w:history="0" w:anchor="P179" w:tooltip="д) следующие показатели деятельности участников центра за 3 года, предшествующие подаче заявки, а также показатели, планируемые к достижению в рамках реализации программы деятельности центра:">
        <w:r>
          <w:rPr>
            <w:sz w:val="20"/>
            <w:color w:val="0000ff"/>
          </w:rPr>
          <w:t xml:space="preserve">подпункте "д" пункта 11</w:t>
        </w:r>
      </w:hyperlink>
      <w:r>
        <w:rPr>
          <w:sz w:val="20"/>
        </w:rPr>
        <w:t xml:space="preserve"> настоящих Правил;</w:t>
      </w:r>
    </w:p>
    <w:p>
      <w:pPr>
        <w:pStyle w:val="0"/>
        <w:spacing w:before="200" w:line-rule="auto"/>
        <w:ind w:firstLine="540"/>
        <w:jc w:val="both"/>
      </w:pPr>
      <w:r>
        <w:rPr>
          <w:sz w:val="20"/>
        </w:rPr>
        <w:t xml:space="preserve">б) несоответствие предлагаемых к включению в состав центра новых участников центра требованиям, предусмотренным </w:t>
      </w:r>
      <w:hyperlink w:history="0" w:anchor="P165" w:tooltip="10. Участники центра по состоянию на 1-е число месяца, предшествующего месяцу, в котором подается заявка, должны соответствовать следующим требованиям:">
        <w:r>
          <w:rPr>
            <w:sz w:val="20"/>
            <w:color w:val="0000ff"/>
          </w:rPr>
          <w:t xml:space="preserve">пунктом 10</w:t>
        </w:r>
      </w:hyperlink>
      <w:r>
        <w:rPr>
          <w:sz w:val="20"/>
        </w:rPr>
        <w:t xml:space="preserve"> настоящих Правил;</w:t>
      </w:r>
    </w:p>
    <w:p>
      <w:pPr>
        <w:pStyle w:val="0"/>
        <w:spacing w:before="200" w:line-rule="auto"/>
        <w:ind w:firstLine="540"/>
        <w:jc w:val="both"/>
      </w:pPr>
      <w:r>
        <w:rPr>
          <w:sz w:val="20"/>
        </w:rPr>
        <w:t xml:space="preserve">в) несоответствие предложения по перераспределению средств гранта направлениям расходов, указанным в </w:t>
      </w:r>
      <w:hyperlink w:history="0" w:anchor="P301" w:tooltip="35. Грант предоставляется на финансовое обеспечение затрат, связанных с достижением целей, указанных в пункте 1 настоящих Правил, и включающих в себя следующие направления расходов:">
        <w:r>
          <w:rPr>
            <w:sz w:val="20"/>
            <w:color w:val="0000ff"/>
          </w:rPr>
          <w:t xml:space="preserve">пункте 35</w:t>
        </w:r>
      </w:hyperlink>
      <w:r>
        <w:rPr>
          <w:sz w:val="20"/>
        </w:rPr>
        <w:t xml:space="preserve"> настоящих Правил.</w:t>
      </w:r>
    </w:p>
    <w:p>
      <w:pPr>
        <w:pStyle w:val="0"/>
        <w:jc w:val="both"/>
      </w:pPr>
      <w:r>
        <w:rPr>
          <w:sz w:val="20"/>
        </w:rPr>
        <w:t xml:space="preserve">(п. 20(3) введен </w:t>
      </w:r>
      <w:hyperlink w:history="0" r:id="rId51" w:tooltip="Постановление Правительства РФ от 09.04.2022 N 634 &quot;О внесении изменений в некоторые акты Правительства Российской Федерации&quot; {КонсультантПлюс}">
        <w:r>
          <w:rPr>
            <w:sz w:val="20"/>
            <w:color w:val="0000ff"/>
          </w:rPr>
          <w:t xml:space="preserve">Постановлением</w:t>
        </w:r>
      </w:hyperlink>
      <w:r>
        <w:rPr>
          <w:sz w:val="20"/>
        </w:rPr>
        <w:t xml:space="preserve"> Правительства РФ от 09.04.2022 N 634)</w:t>
      </w:r>
    </w:p>
    <w:bookmarkStart w:id="236" w:name="P236"/>
    <w:bookmarkEnd w:id="236"/>
    <w:p>
      <w:pPr>
        <w:pStyle w:val="0"/>
        <w:spacing w:before="200" w:line-rule="auto"/>
        <w:ind w:firstLine="540"/>
        <w:jc w:val="both"/>
      </w:pPr>
      <w:r>
        <w:rPr>
          <w:sz w:val="20"/>
        </w:rPr>
        <w:t xml:space="preserve">20(4). Решение конкурсной комиссии, принятое в соответствии с </w:t>
      </w:r>
      <w:hyperlink w:history="0" w:anchor="P227" w:tooltip="20(2). Конкурсная комиссия рассматривает предложения о внесении изменений в программы деятельности центров и в состав участников центра, представляемые инициаторами создания центров в соответствии с пунктом 20(1) настоящих Правил, и принимает одно из следующих решений:">
        <w:r>
          <w:rPr>
            <w:sz w:val="20"/>
            <w:color w:val="0000ff"/>
          </w:rPr>
          <w:t xml:space="preserve">пунктом 20(2)</w:t>
        </w:r>
      </w:hyperlink>
      <w:r>
        <w:rPr>
          <w:sz w:val="20"/>
        </w:rPr>
        <w:t xml:space="preserve"> настоящих Правил, фиксируется в протоколе, который подписывается председателем конкурсной комиссии и секретарем конкурсной комиссии, и не позднее 5 рабочих дней с даты подписания указанного протокола направляется Министерством науки и высшего образования Российской Федерации в наблюдательный совет центра, инициировавшего внесение соответствующих изменений.</w:t>
      </w:r>
    </w:p>
    <w:p>
      <w:pPr>
        <w:pStyle w:val="0"/>
        <w:jc w:val="both"/>
      </w:pPr>
      <w:r>
        <w:rPr>
          <w:sz w:val="20"/>
        </w:rPr>
        <w:t xml:space="preserve">(п. 20(4) введен </w:t>
      </w:r>
      <w:hyperlink w:history="0" r:id="rId52" w:tooltip="Постановление Правительства РФ от 09.04.2022 N 634 &quot;О внесении изменений в некоторые акты Правительства Российской Федерации&quot; {КонсультантПлюс}">
        <w:r>
          <w:rPr>
            <w:sz w:val="20"/>
            <w:color w:val="0000ff"/>
          </w:rPr>
          <w:t xml:space="preserve">Постановлением</w:t>
        </w:r>
      </w:hyperlink>
      <w:r>
        <w:rPr>
          <w:sz w:val="20"/>
        </w:rPr>
        <w:t xml:space="preserve"> Правительства РФ от 09.04.2022 N 634)</w:t>
      </w:r>
    </w:p>
    <w:p>
      <w:pPr>
        <w:pStyle w:val="0"/>
        <w:spacing w:before="200" w:line-rule="auto"/>
        <w:ind w:firstLine="540"/>
        <w:jc w:val="both"/>
      </w:pPr>
      <w:r>
        <w:rPr>
          <w:sz w:val="20"/>
        </w:rPr>
        <w:t xml:space="preserve">20(5). Наблюдательный совет центра в течение 20 рабочих дней с даты получения протокола заседания конкурсной комиссии, указанного в </w:t>
      </w:r>
      <w:hyperlink w:history="0" w:anchor="P236" w:tooltip="20(4). Решение конкурсной комиссии, принятое в соответствии с пунктом 20(2) настоящих Правил, фиксируется в протоколе, который подписывается председателем конкурсной комиссии и секретарем конкурсной комиссии, и не позднее 5 рабочих дней с даты подписания указанного протокола направляется Министерством науки и высшего образования Российской Федерации в наблюдательный совет центра, инициировавшего внесение соответствующих изменений.">
        <w:r>
          <w:rPr>
            <w:sz w:val="20"/>
            <w:color w:val="0000ff"/>
          </w:rPr>
          <w:t xml:space="preserve">пункте 20(4)</w:t>
        </w:r>
      </w:hyperlink>
      <w:r>
        <w:rPr>
          <w:sz w:val="20"/>
        </w:rPr>
        <w:t xml:space="preserve"> настоящих Правил, обеспечивает внесение в программу деятельности центра и в состав участников центра изменений, одобренных конкурсной комиссией, и направляет доработанную программу деятельности центра на согласование в Министерство науки и высшего образования Российской Федерации.</w:t>
      </w:r>
    </w:p>
    <w:p>
      <w:pPr>
        <w:pStyle w:val="0"/>
        <w:jc w:val="both"/>
      </w:pPr>
      <w:r>
        <w:rPr>
          <w:sz w:val="20"/>
        </w:rPr>
        <w:t xml:space="preserve">(п. 20(5) введен </w:t>
      </w:r>
      <w:hyperlink w:history="0" r:id="rId53" w:tooltip="Постановление Правительства РФ от 09.04.2022 N 634 &quot;О внесении изменений в некоторые акты Правительства Российской Федерации&quot; {КонсультантПлюс}">
        <w:r>
          <w:rPr>
            <w:sz w:val="20"/>
            <w:color w:val="0000ff"/>
          </w:rPr>
          <w:t xml:space="preserve">Постановлением</w:t>
        </w:r>
      </w:hyperlink>
      <w:r>
        <w:rPr>
          <w:sz w:val="20"/>
        </w:rPr>
        <w:t xml:space="preserve"> Правительства РФ от 09.04.2022 N 634)</w:t>
      </w:r>
    </w:p>
    <w:bookmarkStart w:id="240" w:name="P240"/>
    <w:bookmarkEnd w:id="240"/>
    <w:p>
      <w:pPr>
        <w:pStyle w:val="0"/>
        <w:spacing w:before="200" w:line-rule="auto"/>
        <w:ind w:firstLine="540"/>
        <w:jc w:val="both"/>
      </w:pPr>
      <w:r>
        <w:rPr>
          <w:sz w:val="20"/>
        </w:rPr>
        <w:t xml:space="preserve">21. Министерство науки и высшего образования Российской Федерации до 30 апреля года, следующего за отчетным годом, направляет в Совет научно-образовательных центров мирового уровня аналитическую информацию по результатам рассмотрения отчетов центров, представленных в соответствии с </w:t>
      </w:r>
      <w:hyperlink w:history="0" w:anchor="P220" w:tooltip="20. Центры, победившие в конкурсе, не позднее 1 апреля, начиная с года, следующего за годом определения их победителями, направляют в Министерство науки и высшего образования Российской Федерации ежегодные отчеты о результатах реализации программ деятельности центров, а также при необходимости предложения о внесении изменений в программы деятельности центров и в состав участников центра, представляемые инициаторами создания центров.">
        <w:r>
          <w:rPr>
            <w:sz w:val="20"/>
            <w:color w:val="0000ff"/>
          </w:rPr>
          <w:t xml:space="preserve">пунктом 20</w:t>
        </w:r>
      </w:hyperlink>
      <w:r>
        <w:rPr>
          <w:sz w:val="20"/>
        </w:rPr>
        <w:t xml:space="preserve"> настоящих Правил, содержащую в том числе оценку результатов деятельности центров, оценку темпа прироста показателей результативности деятельности центров, которая проводится с учетом критериев оценки темпов прироста показателей результативности деятельности центров согласно </w:t>
      </w:r>
      <w:hyperlink w:history="0" w:anchor="P565" w:tooltip="ПЕРЕЧЕНЬ">
        <w:r>
          <w:rPr>
            <w:sz w:val="20"/>
            <w:color w:val="0000ff"/>
          </w:rPr>
          <w:t xml:space="preserve">приложению N 2</w:t>
        </w:r>
      </w:hyperlink>
      <w:r>
        <w:rPr>
          <w:sz w:val="20"/>
        </w:rPr>
        <w:t xml:space="preserve"> и на основании методики оценки темпов прироста показателей результативности деятельности центров согласно </w:t>
      </w:r>
      <w:hyperlink w:history="0" w:anchor="P644" w:tooltip="МЕТОДИКА">
        <w:r>
          <w:rPr>
            <w:sz w:val="20"/>
            <w:color w:val="0000ff"/>
          </w:rPr>
          <w:t xml:space="preserve">приложению N 3</w:t>
        </w:r>
      </w:hyperlink>
      <w:r>
        <w:rPr>
          <w:sz w:val="20"/>
        </w:rPr>
        <w:t xml:space="preserve">, а также (при наличии) представленные центрами предложения о внесении изменений в программы деятельности центров и в состав участников центра в случаях, не предусмотренных </w:t>
      </w:r>
      <w:hyperlink w:history="0" w:anchor="P221" w:tooltip="20(1). Предложения о внесении изменений в программы деятельности центров и состав участников центра рассматриваются до 20 рабочих дней конкурсной комиссией в следующих случаях:">
        <w:r>
          <w:rPr>
            <w:sz w:val="20"/>
            <w:color w:val="0000ff"/>
          </w:rPr>
          <w:t xml:space="preserve">пунктом 20(1)</w:t>
        </w:r>
      </w:hyperlink>
      <w:r>
        <w:rPr>
          <w:sz w:val="20"/>
        </w:rPr>
        <w:t xml:space="preserve"> настоящих Правил.</w:t>
      </w:r>
    </w:p>
    <w:p>
      <w:pPr>
        <w:pStyle w:val="0"/>
        <w:jc w:val="both"/>
      </w:pPr>
      <w:r>
        <w:rPr>
          <w:sz w:val="20"/>
        </w:rPr>
        <w:t xml:space="preserve">(в ред. </w:t>
      </w:r>
      <w:hyperlink w:history="0" r:id="rId54" w:tooltip="Постановление Правительства РФ от 09.04.2022 N 63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09.04.2022 N 634)</w:t>
      </w:r>
    </w:p>
    <w:bookmarkStart w:id="242" w:name="P242"/>
    <w:bookmarkEnd w:id="242"/>
    <w:p>
      <w:pPr>
        <w:pStyle w:val="0"/>
        <w:spacing w:before="200" w:line-rule="auto"/>
        <w:ind w:firstLine="540"/>
        <w:jc w:val="both"/>
      </w:pPr>
      <w:r>
        <w:rPr>
          <w:sz w:val="20"/>
        </w:rPr>
        <w:t xml:space="preserve">22. Совет научно-образовательных центров мирового уровня по результатам рассмотрения информации, представленной в соответствии с </w:t>
      </w:r>
      <w:hyperlink w:history="0" w:anchor="P240" w:tooltip="21. Министерство науки и высшего образования Российской Федерации до 30 апреля года, следующего за отчетным годом, направляет в Совет научно-образовательных центров мирового уровня аналитическую информацию по результатам рассмотрения отчетов центров, представленных в соответствии с пунктом 20 настоящих Правил, содержащую в том числе оценку результатов деятельности центров, оценку темпа прироста показателей результативности деятельности центров, которая проводится с учетом критериев оценки темпов прироста...">
        <w:r>
          <w:rPr>
            <w:sz w:val="20"/>
            <w:color w:val="0000ff"/>
          </w:rPr>
          <w:t xml:space="preserve">пунктом 21</w:t>
        </w:r>
      </w:hyperlink>
      <w:r>
        <w:rPr>
          <w:sz w:val="20"/>
        </w:rPr>
        <w:t xml:space="preserve"> настоящих Правил, принимает одно из следующих решений:</w:t>
      </w:r>
    </w:p>
    <w:p>
      <w:pPr>
        <w:pStyle w:val="0"/>
        <w:spacing w:before="200" w:line-rule="auto"/>
        <w:ind w:firstLine="540"/>
        <w:jc w:val="both"/>
      </w:pPr>
      <w:r>
        <w:rPr>
          <w:sz w:val="20"/>
        </w:rPr>
        <w:t xml:space="preserve">а) решение о предоставлении гранта участнику центра и об определении размера гранта;</w:t>
      </w:r>
    </w:p>
    <w:bookmarkStart w:id="244" w:name="P244"/>
    <w:bookmarkEnd w:id="244"/>
    <w:p>
      <w:pPr>
        <w:pStyle w:val="0"/>
        <w:spacing w:before="200" w:line-rule="auto"/>
        <w:ind w:firstLine="540"/>
        <w:jc w:val="both"/>
      </w:pPr>
      <w:r>
        <w:rPr>
          <w:sz w:val="20"/>
        </w:rPr>
        <w:t xml:space="preserve">б) решение об отказе в предоставлении гранта и о перераспределении высвободившихся бюджетных ассигнований между центрами, в отношении которых принято решение о предоставлении гранта, либо о проведении дополнительного конкурса.</w:t>
      </w:r>
    </w:p>
    <w:p>
      <w:pPr>
        <w:pStyle w:val="0"/>
        <w:jc w:val="both"/>
      </w:pPr>
      <w:r>
        <w:rPr>
          <w:sz w:val="20"/>
        </w:rPr>
        <w:t xml:space="preserve">(пп. "б" в ред. </w:t>
      </w:r>
      <w:hyperlink w:history="0" r:id="rId55" w:tooltip="Постановление Правительства РФ от 09.04.2022 N 63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09.04.2022 N 634)</w:t>
      </w:r>
    </w:p>
    <w:bookmarkStart w:id="246" w:name="P246"/>
    <w:bookmarkEnd w:id="246"/>
    <w:p>
      <w:pPr>
        <w:pStyle w:val="0"/>
        <w:spacing w:before="200" w:line-rule="auto"/>
        <w:ind w:firstLine="540"/>
        <w:jc w:val="both"/>
      </w:pPr>
      <w:r>
        <w:rPr>
          <w:sz w:val="20"/>
        </w:rPr>
        <w:t xml:space="preserve">23. В случае представления инициатором создания центра предложений о внесении изменений в программы деятельности центров и состав участников центра Совет научно-образовательных центров мирового уровня принимает решение об одобрении (отклонении) внесенных центрами предложений.</w:t>
      </w:r>
    </w:p>
    <w:bookmarkStart w:id="247" w:name="P247"/>
    <w:bookmarkEnd w:id="247"/>
    <w:p>
      <w:pPr>
        <w:pStyle w:val="0"/>
        <w:spacing w:before="200" w:line-rule="auto"/>
        <w:ind w:firstLine="540"/>
        <w:jc w:val="both"/>
      </w:pPr>
      <w:r>
        <w:rPr>
          <w:sz w:val="20"/>
        </w:rPr>
        <w:t xml:space="preserve">24. Решения Совета научно-образовательных центров мирового уровня, предусмотренные </w:t>
      </w:r>
      <w:hyperlink w:history="0" w:anchor="P242" w:tooltip="22. Совет научно-образовательных центров мирового уровня по результатам рассмотрения информации, представленной в соответствии с пунктом 21 настоящих Правил, принимает одно из следующих решений:">
        <w:r>
          <w:rPr>
            <w:sz w:val="20"/>
            <w:color w:val="0000ff"/>
          </w:rPr>
          <w:t xml:space="preserve">пунктами 22</w:t>
        </w:r>
      </w:hyperlink>
      <w:r>
        <w:rPr>
          <w:sz w:val="20"/>
        </w:rPr>
        <w:t xml:space="preserve"> и </w:t>
      </w:r>
      <w:hyperlink w:history="0" w:anchor="P246" w:tooltip="23. В случае представления инициатором создания центра предложений о внесении изменений в программы деятельности центров и состав участников центра Совет научно-образовательных центров мирового уровня принимает решение об одобрении (отклонении) внесенных центрами предложений.">
        <w:r>
          <w:rPr>
            <w:sz w:val="20"/>
            <w:color w:val="0000ff"/>
          </w:rPr>
          <w:t xml:space="preserve">23</w:t>
        </w:r>
      </w:hyperlink>
      <w:r>
        <w:rPr>
          <w:sz w:val="20"/>
        </w:rPr>
        <w:t xml:space="preserve"> настоящих Правил, оформляются протоколом заседания Совета научно-образовательных центров мирового уровня.</w:t>
      </w:r>
    </w:p>
    <w:p>
      <w:pPr>
        <w:pStyle w:val="0"/>
        <w:spacing w:before="200" w:line-rule="auto"/>
        <w:ind w:firstLine="540"/>
        <w:jc w:val="both"/>
      </w:pPr>
      <w:r>
        <w:rPr>
          <w:sz w:val="20"/>
        </w:rPr>
        <w:t xml:space="preserve">24(1). Наблюдательный совет центра в течение 20 рабочих дней с даты принятия Советом научно-образовательных центров мирового уровня решения, предусмотренного </w:t>
      </w:r>
      <w:hyperlink w:history="0" w:anchor="P246" w:tooltip="23. В случае представления инициатором создания центра предложений о внесении изменений в программы деятельности центров и состав участников центра Совет научно-образовательных центров мирового уровня принимает решение об одобрении (отклонении) внесенных центрами предложений.">
        <w:r>
          <w:rPr>
            <w:sz w:val="20"/>
            <w:color w:val="0000ff"/>
          </w:rPr>
          <w:t xml:space="preserve">пунктом 23</w:t>
        </w:r>
      </w:hyperlink>
      <w:r>
        <w:rPr>
          <w:sz w:val="20"/>
        </w:rPr>
        <w:t xml:space="preserve"> настоящих Правил, обеспечивает внесение в программу деятельности центра и в состав участников центра изменений, одобренных Советом научно-образовательных центров мирового уровня, и направляет доработанную программу деятельности центра на согласование в Министерство науки и высшего образования Российской Федерации.</w:t>
      </w:r>
    </w:p>
    <w:p>
      <w:pPr>
        <w:pStyle w:val="0"/>
        <w:jc w:val="both"/>
      </w:pPr>
      <w:r>
        <w:rPr>
          <w:sz w:val="20"/>
        </w:rPr>
        <w:t xml:space="preserve">(п. 24(1) введен </w:t>
      </w:r>
      <w:hyperlink w:history="0" r:id="rId56" w:tooltip="Постановление Правительства РФ от 09.04.2022 N 634 &quot;О внесении изменений в некоторые акты Правительства Российской Федерации&quot; {КонсультантПлюс}">
        <w:r>
          <w:rPr>
            <w:sz w:val="20"/>
            <w:color w:val="0000ff"/>
          </w:rPr>
          <w:t xml:space="preserve">Постановлением</w:t>
        </w:r>
      </w:hyperlink>
      <w:r>
        <w:rPr>
          <w:sz w:val="20"/>
        </w:rPr>
        <w:t xml:space="preserve"> Правительства РФ от 09.04.2022 N 634)</w:t>
      </w:r>
    </w:p>
    <w:p>
      <w:pPr>
        <w:pStyle w:val="0"/>
        <w:spacing w:before="200" w:line-rule="auto"/>
        <w:ind w:firstLine="540"/>
        <w:jc w:val="both"/>
      </w:pPr>
      <w:r>
        <w:rPr>
          <w:sz w:val="20"/>
        </w:rPr>
        <w:t xml:space="preserve">25. Перечень получателей грантов и размеры предоставляемых им грантов ежегодно утверждаются актом Правительства Российской Федерации.</w:t>
      </w:r>
    </w:p>
    <w:p>
      <w:pPr>
        <w:pStyle w:val="0"/>
        <w:spacing w:before="200" w:line-rule="auto"/>
        <w:ind w:firstLine="540"/>
        <w:jc w:val="both"/>
      </w:pPr>
      <w:r>
        <w:rPr>
          <w:sz w:val="20"/>
        </w:rPr>
        <w:t xml:space="preserve">Проект соответствующего акта Правительства Российской Федерации в установленном порядке вносит в Правительство Российской Федерации Министерство науки и высшего образования Российской Федерации на основании протокола, указанного в </w:t>
      </w:r>
      <w:hyperlink w:history="0" w:anchor="P247" w:tooltip="24. Решения Совета научно-образовательных центров мирового уровня, предусмотренные пунктами 22 и 23 настоящих Правил, оформляются протоколом заседания Совета научно-образовательных центров мирового уровня.">
        <w:r>
          <w:rPr>
            <w:sz w:val="20"/>
            <w:color w:val="0000ff"/>
          </w:rPr>
          <w:t xml:space="preserve">пункте 24</w:t>
        </w:r>
      </w:hyperlink>
      <w:r>
        <w:rPr>
          <w:sz w:val="20"/>
        </w:rPr>
        <w:t xml:space="preserve"> настоящих Правил.</w:t>
      </w:r>
    </w:p>
    <w:bookmarkStart w:id="252" w:name="P252"/>
    <w:bookmarkEnd w:id="252"/>
    <w:p>
      <w:pPr>
        <w:pStyle w:val="0"/>
        <w:spacing w:before="200" w:line-rule="auto"/>
        <w:ind w:firstLine="540"/>
        <w:jc w:val="both"/>
      </w:pPr>
      <w:r>
        <w:rPr>
          <w:sz w:val="20"/>
        </w:rPr>
        <w:t xml:space="preserve">26. Результатом предоставления гранта являются реализация в отчетном году предусмотренных программой деятельности центра мероприятий программы и достижение показателей, указанных в </w:t>
      </w:r>
      <w:hyperlink w:history="0" w:anchor="P179" w:tooltip="д) следующие показатели деятельности участников центра за 3 года, предшествующие подаче заявки, а также показатели, планируемые к достижению в рамках реализации программы деятельности центра:">
        <w:r>
          <w:rPr>
            <w:sz w:val="20"/>
            <w:color w:val="0000ff"/>
          </w:rPr>
          <w:t xml:space="preserve">подпункте "д" пункта 11</w:t>
        </w:r>
      </w:hyperlink>
      <w:r>
        <w:rPr>
          <w:sz w:val="20"/>
        </w:rPr>
        <w:t xml:space="preserve"> настоящих Правил, необходимых для достижения результата предоставления гранта, и установленных в соглашении.</w:t>
      </w:r>
    </w:p>
    <w:p>
      <w:pPr>
        <w:pStyle w:val="0"/>
        <w:spacing w:before="200" w:line-rule="auto"/>
        <w:ind w:firstLine="540"/>
        <w:jc w:val="both"/>
      </w:pPr>
      <w:r>
        <w:rPr>
          <w:sz w:val="20"/>
        </w:rPr>
        <w:t xml:space="preserve">27. Базовый размер суммы гранта на финансовый год на один центр (V</w:t>
      </w:r>
      <w:r>
        <w:rPr>
          <w:sz w:val="20"/>
          <w:vertAlign w:val="subscript"/>
        </w:rPr>
        <w:t xml:space="preserve">6</w:t>
      </w:r>
      <w:r>
        <w:rPr>
          <w:sz w:val="20"/>
        </w:rPr>
        <w:t xml:space="preserve">) определяется по формуле:</w:t>
      </w:r>
    </w:p>
    <w:p>
      <w:pPr>
        <w:pStyle w:val="0"/>
        <w:ind w:firstLine="540"/>
        <w:jc w:val="both"/>
      </w:pPr>
      <w:r>
        <w:rPr>
          <w:sz w:val="20"/>
        </w:rPr>
      </w:r>
    </w:p>
    <w:p>
      <w:pPr>
        <w:pStyle w:val="0"/>
        <w:jc w:val="center"/>
      </w:pPr>
      <w:r>
        <w:rPr>
          <w:position w:val="-21"/>
        </w:rPr>
        <w:drawing>
          <wp:inline distT="0" distB="0" distL="0" distR="0">
            <wp:extent cx="495300" cy="3937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
                      <a:extLst>
                        <a:ext uri="{28A0092B-C50C-407E-A947-70E740481C1C}">
                          <a14:useLocalDpi xmlns:a14="http://schemas.microsoft.com/office/drawing/2010/main" val="0"/>
                        </a:ext>
                      </a:extLst>
                    </a:blip>
                    <a:srcRect/>
                    <a:stretch>
                      <a:fillRect/>
                    </a:stretch>
                  </pic:blipFill>
                  <pic:spPr bwMode="auto">
                    <a:xfrm>
                      <a:off x="0" y="0"/>
                      <a:ext cx="495300" cy="393700"/>
                    </a:xfrm>
                    <a:prstGeom prst="rect">
                      <a:avLst/>
                    </a:prstGeom>
                    <a:noFill/>
                    <a:ln>
                      <a:noFill/>
                    </a:ln>
                  </pic:spPr>
                </pic:pic>
              </a:graphicData>
            </a:graphic>
          </wp:inline>
        </w:drawing>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V - объем бюджетных ассигнований, предусмотренных Министерству науки и высшего образования Российской Федерации на соответствующий финансовый год на оказание государственной поддержки центров;</w:t>
      </w:r>
    </w:p>
    <w:p>
      <w:pPr>
        <w:pStyle w:val="0"/>
        <w:spacing w:before="200" w:line-rule="auto"/>
        <w:ind w:firstLine="540"/>
        <w:jc w:val="both"/>
      </w:pPr>
      <w:r>
        <w:rPr>
          <w:sz w:val="20"/>
        </w:rPr>
        <w:t xml:space="preserve">n - количество центров, получающих государственную поддержку в течение финансового года.</w:t>
      </w:r>
    </w:p>
    <w:p>
      <w:pPr>
        <w:pStyle w:val="0"/>
        <w:spacing w:before="200" w:line-rule="auto"/>
        <w:ind w:firstLine="540"/>
        <w:jc w:val="both"/>
      </w:pPr>
      <w:r>
        <w:rPr>
          <w:sz w:val="20"/>
        </w:rPr>
        <w:t xml:space="preserve">В случае если Советом научно-образовательных центров мирового уровня в соответствии с </w:t>
      </w:r>
      <w:hyperlink w:history="0" w:anchor="P244" w:tooltip="б) решение об отказе в предоставлении гранта и о перераспределении высвободившихся бюджетных ассигнований между центрами, в отношении которых принято решение о предоставлении гранта, либо о проведении дополнительного конкурса.">
        <w:r>
          <w:rPr>
            <w:sz w:val="20"/>
            <w:color w:val="0000ff"/>
          </w:rPr>
          <w:t xml:space="preserve">подпунктом "б" пункта 22</w:t>
        </w:r>
      </w:hyperlink>
      <w:r>
        <w:rPr>
          <w:sz w:val="20"/>
        </w:rPr>
        <w:t xml:space="preserve"> настоящих Правил принято решение об отказе в предоставлении гранта и о перераспределении высвободившихся бюджетных ассигнований между центрами, в отношении которых принято решение о предоставлении гранта, то объем высвободившихся бюджетных ассигнований распределяется в равном объеме между такими центрами, но не более объема потребности, указанной в заявке каждого из центров.</w:t>
      </w:r>
    </w:p>
    <w:p>
      <w:pPr>
        <w:pStyle w:val="0"/>
        <w:jc w:val="both"/>
      </w:pPr>
      <w:r>
        <w:rPr>
          <w:sz w:val="20"/>
        </w:rPr>
        <w:t xml:space="preserve">(п. 27 в ред. </w:t>
      </w:r>
      <w:hyperlink w:history="0" r:id="rId58" w:tooltip="Постановление Правительства РФ от 09.04.2022 N 63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09.04.2022 N 634)</w:t>
      </w:r>
    </w:p>
    <w:p>
      <w:pPr>
        <w:pStyle w:val="0"/>
        <w:spacing w:before="200" w:line-rule="auto"/>
        <w:ind w:firstLine="540"/>
        <w:jc w:val="both"/>
      </w:pPr>
      <w:r>
        <w:rPr>
          <w:sz w:val="20"/>
        </w:rPr>
        <w:t xml:space="preserve">28. Соглашение заключается между Министерством науки и высшего образования Российской Федерации и получателем гранта по итогам конкурса и предусматривает в том числе следующие положения:</w:t>
      </w:r>
    </w:p>
    <w:p>
      <w:pPr>
        <w:pStyle w:val="0"/>
        <w:spacing w:before="200" w:line-rule="auto"/>
        <w:ind w:firstLine="540"/>
        <w:jc w:val="both"/>
      </w:pPr>
      <w:r>
        <w:rPr>
          <w:sz w:val="20"/>
        </w:rPr>
        <w:t xml:space="preserve">а) цели предоставления гранта, его размер, условия, порядок и сроки (периодичность) перечисления гранта, счета, на которые подлежит перечислению грант, порядок и направления расходов, источником финансового обеспечения которых является грант;</w:t>
      </w:r>
    </w:p>
    <w:p>
      <w:pPr>
        <w:pStyle w:val="0"/>
        <w:spacing w:before="200" w:line-rule="auto"/>
        <w:ind w:firstLine="540"/>
        <w:jc w:val="both"/>
      </w:pPr>
      <w:r>
        <w:rPr>
          <w:sz w:val="20"/>
        </w:rPr>
        <w:t xml:space="preserve">б) значения результата предоставления гранта и показателей, указанных в </w:t>
      </w:r>
      <w:hyperlink w:history="0" w:anchor="P179" w:tooltip="д) следующие показатели деятельности участников центра за 3 года, предшествующие подаче заявки, а также показатели, планируемые к достижению в рамках реализации программы деятельности центра:">
        <w:r>
          <w:rPr>
            <w:sz w:val="20"/>
            <w:color w:val="0000ff"/>
          </w:rPr>
          <w:t xml:space="preserve">подпункте "д" пункта 11</w:t>
        </w:r>
      </w:hyperlink>
      <w:r>
        <w:rPr>
          <w:sz w:val="20"/>
        </w:rPr>
        <w:t xml:space="preserve"> настоящих Правил, необходимых для достижения значения результата предоставления гранта;</w:t>
      </w:r>
    </w:p>
    <w:p>
      <w:pPr>
        <w:pStyle w:val="0"/>
        <w:spacing w:before="200" w:line-rule="auto"/>
        <w:ind w:firstLine="540"/>
        <w:jc w:val="both"/>
      </w:pPr>
      <w:r>
        <w:rPr>
          <w:sz w:val="20"/>
        </w:rPr>
        <w:t xml:space="preserve">в) форма представления ежегодного отчета о результатах реализации программы деятельности центра;</w:t>
      </w:r>
    </w:p>
    <w:p>
      <w:pPr>
        <w:pStyle w:val="0"/>
        <w:spacing w:before="200" w:line-rule="auto"/>
        <w:ind w:firstLine="540"/>
        <w:jc w:val="both"/>
      </w:pPr>
      <w:r>
        <w:rPr>
          <w:sz w:val="20"/>
        </w:rPr>
        <w:t xml:space="preserve">г) сроки представления отчетности об осуществлении расходов, источником финансового обеспечения которых является грант, а также отчетности о достижении значений результата предоставления гранта и показателей, необходимых для достижения значений результата предоставления гранта;</w:t>
      </w:r>
    </w:p>
    <w:p>
      <w:pPr>
        <w:pStyle w:val="0"/>
        <w:jc w:val="both"/>
      </w:pPr>
      <w:r>
        <w:rPr>
          <w:sz w:val="20"/>
        </w:rPr>
        <w:t xml:space="preserve">(в ред. </w:t>
      </w:r>
      <w:hyperlink w:history="0" r:id="rId59" w:tooltip="Постановление Правительства РФ от 09.04.2022 N 63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09.04.2022 N 634)</w:t>
      </w:r>
    </w:p>
    <w:p>
      <w:pPr>
        <w:pStyle w:val="0"/>
        <w:spacing w:before="200" w:line-rule="auto"/>
        <w:ind w:firstLine="540"/>
        <w:jc w:val="both"/>
      </w:pPr>
      <w:r>
        <w:rPr>
          <w:sz w:val="20"/>
        </w:rPr>
        <w:t xml:space="preserve">д) порядок внесения изменений в соглашение и условия его расторжения;</w:t>
      </w:r>
    </w:p>
    <w:p>
      <w:pPr>
        <w:pStyle w:val="0"/>
        <w:spacing w:before="200" w:line-rule="auto"/>
        <w:ind w:firstLine="540"/>
        <w:jc w:val="both"/>
      </w:pPr>
      <w:r>
        <w:rPr>
          <w:sz w:val="20"/>
        </w:rPr>
        <w:t xml:space="preserve">е) согласие получателя гранта на осуществление Министерством науки и высшего образования Российской Федерации и органами государственного финансового контроля проверок соблюдения целей, условий и порядка предоставления гранта, а также обязательство получателя гранта по включению в договоры (соглашения), заключенные в целях исполнения обязательств по соглашению, положений о согласии лиц, являющихся поставщиками (подрядчиками, исполнителями), на проведение в отношении их указанных проверок;</w:t>
      </w:r>
    </w:p>
    <w:p>
      <w:pPr>
        <w:pStyle w:val="0"/>
        <w:spacing w:before="200" w:line-rule="auto"/>
        <w:ind w:firstLine="540"/>
        <w:jc w:val="both"/>
      </w:pPr>
      <w:r>
        <w:rPr>
          <w:sz w:val="20"/>
        </w:rPr>
        <w:t xml:space="preserve">ж) право Министерства науки и высшего образования Российской Федерации на расторжение соглашения в одностороннем порядке в случае недостижения получателем гранта установленных соглашением значений результата предоставления гранта в соответствии с программой деятельности центра;</w:t>
      </w:r>
    </w:p>
    <w:p>
      <w:pPr>
        <w:pStyle w:val="0"/>
        <w:spacing w:before="200" w:line-rule="auto"/>
        <w:ind w:firstLine="540"/>
        <w:jc w:val="both"/>
      </w:pPr>
      <w:r>
        <w:rPr>
          <w:sz w:val="20"/>
        </w:rPr>
        <w:t xml:space="preserve">з) запрет приобретения получателем гранта, иными юридическими лицами, получающими средства на основании договоров, заключенных с получателем гранта, за счет средств гранта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w:t>
      </w:r>
    </w:p>
    <w:p>
      <w:pPr>
        <w:pStyle w:val="0"/>
        <w:spacing w:before="200" w:line-rule="auto"/>
        <w:ind w:firstLine="540"/>
        <w:jc w:val="both"/>
      </w:pPr>
      <w:r>
        <w:rPr>
          <w:sz w:val="20"/>
        </w:rPr>
        <w:t xml:space="preserve">и) условие о согласовании новых условий соглашения или о расторжении соглашения при недостижении согласия по новым условиям в случае уменьшения Министерству науки и высшего образования Российской Федерации как получателю бюджетных средств ранее доведенных лимитов бюджетных обязательств, приводящего к невозможности предоставления гранта в размере, определенном в соглашении;</w:t>
      </w:r>
    </w:p>
    <w:p>
      <w:pPr>
        <w:pStyle w:val="0"/>
        <w:spacing w:before="200" w:line-rule="auto"/>
        <w:ind w:firstLine="540"/>
        <w:jc w:val="both"/>
      </w:pPr>
      <w:r>
        <w:rPr>
          <w:sz w:val="20"/>
        </w:rPr>
        <w:t xml:space="preserve">к) казначейское сопровождение предоставленного гранта, установленное правилами казначейского сопровождения средств в соответствии с бюджетным законодательством Российской Федерации, в случае если грант подлежит в соответствии с бюджетным законодательством Российской Федерации казначейскому сопровождению;</w:t>
      </w:r>
    </w:p>
    <w:p>
      <w:pPr>
        <w:pStyle w:val="0"/>
        <w:spacing w:before="200" w:line-rule="auto"/>
        <w:ind w:firstLine="540"/>
        <w:jc w:val="both"/>
      </w:pPr>
      <w:r>
        <w:rPr>
          <w:sz w:val="20"/>
        </w:rPr>
        <w:t xml:space="preserve">л) право получателя гранта осуществлять расходы, источником финансового обеспечения которых являются не использованные в отчетном финансовом году остатки гранта, при принятии Министерством науки и высшего образования Российской Федерации по согласованию с Министерством финансов Российской Федерации решения о наличии потребности в указанных средствах в порядке, установленном Правительством Российской Федерации.</w:t>
      </w:r>
    </w:p>
    <w:p>
      <w:pPr>
        <w:pStyle w:val="0"/>
        <w:spacing w:before="200" w:line-rule="auto"/>
        <w:ind w:firstLine="540"/>
        <w:jc w:val="both"/>
      </w:pPr>
      <w:r>
        <w:rPr>
          <w:sz w:val="20"/>
        </w:rPr>
        <w:t xml:space="preserve">29. Соглашение, дополнительное соглашение к соглашению, в том числе дополнительное соглашение о расторжении соглашения (при необходимости), заключаются в соответствии с </w:t>
      </w:r>
      <w:hyperlink w:history="0" r:id="rId60" w:tooltip="Справочная информация: &quot;Типовые формы договоров (соглашений) о предоставлении субсидий, иных межбюджетных трансфертов&quot; (Материал подготовлен специалистами КонсультантПлюс) {КонсультантПлюс}">
        <w:r>
          <w:rPr>
            <w:sz w:val="20"/>
            <w:color w:val="0000ff"/>
          </w:rPr>
          <w:t xml:space="preserve">типовыми формами</w:t>
        </w:r>
      </w:hyperlink>
      <w:r>
        <w:rPr>
          <w:sz w:val="20"/>
        </w:rPr>
        <w:t xml:space="preserve">, установленными Министерством финансов Российской Федерации, в системе "Электронный бюджет".</w:t>
      </w:r>
    </w:p>
    <w:p>
      <w:pPr>
        <w:pStyle w:val="0"/>
        <w:jc w:val="both"/>
      </w:pPr>
      <w:r>
        <w:rPr>
          <w:sz w:val="20"/>
        </w:rPr>
        <w:t xml:space="preserve">(в ред. </w:t>
      </w:r>
      <w:hyperlink w:history="0" r:id="rId61" w:tooltip="Постановление Правительства РФ от 09.04.2022 N 63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09.04.2022 N 634)</w:t>
      </w:r>
    </w:p>
    <w:bookmarkStart w:id="277" w:name="P277"/>
    <w:bookmarkEnd w:id="277"/>
    <w:p>
      <w:pPr>
        <w:pStyle w:val="0"/>
        <w:spacing w:before="200" w:line-rule="auto"/>
        <w:ind w:firstLine="540"/>
        <w:jc w:val="both"/>
      </w:pPr>
      <w:r>
        <w:rPr>
          <w:sz w:val="20"/>
        </w:rPr>
        <w:t xml:space="preserve">30. Получатель гранта по состоянию на 1-е число месяца, предшествующего месяцу, в котором планируется заключение соглашения, должен соответствовать следующим требованиям:</w:t>
      </w:r>
    </w:p>
    <w:p>
      <w:pPr>
        <w:pStyle w:val="0"/>
        <w:spacing w:before="200" w:line-rule="auto"/>
        <w:ind w:firstLine="540"/>
        <w:jc w:val="both"/>
      </w:pPr>
      <w:r>
        <w:rPr>
          <w:sz w:val="20"/>
        </w:rPr>
        <w:t xml:space="preserve">а) не имеет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pPr>
        <w:pStyle w:val="0"/>
        <w:spacing w:before="200" w:line-rule="auto"/>
        <w:ind w:firstLine="540"/>
        <w:jc w:val="both"/>
      </w:pPr>
      <w:r>
        <w:rPr>
          <w:sz w:val="20"/>
        </w:rPr>
        <w:t xml:space="preserve">б) не имеет просроченной задолженности по возврату в федеральный бюджет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Российской Федерацией;</w:t>
      </w:r>
    </w:p>
    <w:p>
      <w:pPr>
        <w:pStyle w:val="0"/>
        <w:jc w:val="both"/>
      </w:pPr>
      <w:r>
        <w:rPr>
          <w:sz w:val="20"/>
        </w:rPr>
        <w:t xml:space="preserve">(в ред. </w:t>
      </w:r>
      <w:hyperlink w:history="0" r:id="rId62" w:tooltip="Постановление Правительства РФ от 09.04.2022 N 63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09.04.2022 N 634)</w:t>
      </w:r>
    </w:p>
    <w:p>
      <w:pPr>
        <w:pStyle w:val="0"/>
        <w:spacing w:before="200" w:line-rule="auto"/>
        <w:ind w:firstLine="540"/>
        <w:jc w:val="both"/>
      </w:pPr>
      <w:r>
        <w:rPr>
          <w:sz w:val="20"/>
        </w:rPr>
        <w:t xml:space="preserve">в) не является получателем средств из федерального бюджета в соответствии с иными нормативными правовыми актами Российской Федерации на цели, указанные в </w:t>
      </w:r>
      <w:hyperlink w:history="0" w:anchor="P52" w:tooltip="1. Настоящие Правила устанавливают цели, условия и порядок предоставления грантов в форме субсидий из федерального бюджета на оказание государственной поддержки научно-образовательных центров мирового уровня на основе интеграции образовательных организаций высшего образования и научных организаций и их кооперации с организациями, действующими в реальном секторе экономики, в рамках федерального проекта &quot;Развитие интеграционных процессов в сфере науки, высшего образования и индустрии&quot; национального проекта...">
        <w:r>
          <w:rPr>
            <w:sz w:val="20"/>
            <w:color w:val="0000ff"/>
          </w:rPr>
          <w:t xml:space="preserve">пункте 1</w:t>
        </w:r>
      </w:hyperlink>
      <w:r>
        <w:rPr>
          <w:sz w:val="20"/>
        </w:rPr>
        <w:t xml:space="preserve"> настоящих Правил;</w:t>
      </w:r>
    </w:p>
    <w:p>
      <w:pPr>
        <w:pStyle w:val="0"/>
        <w:spacing w:before="200" w:line-rule="auto"/>
        <w:ind w:firstLine="540"/>
        <w:jc w:val="both"/>
      </w:pPr>
      <w:r>
        <w:rPr>
          <w:sz w:val="20"/>
        </w:rPr>
        <w:t xml:space="preserve">г)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w:t>
      </w:r>
      <w:hyperlink w:history="0" r:id="rId63" w:tooltip="Приказ Минфина России от 13.11.2007 N 108н (ред. от 02.11.2017) &quot;Об утверждении Перечня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quot; (Зарегистрировано в Минюсте России 03.12.2007 N 10598) {КонсультантПлюс}">
        <w:r>
          <w:rPr>
            <w:sz w:val="20"/>
            <w:color w:val="0000ff"/>
          </w:rPr>
          <w:t xml:space="preserve">перечень</w:t>
        </w:r>
      </w:hyperlink>
      <w:r>
        <w:rPr>
          <w:sz w:val="20"/>
        </w:rP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pPr>
        <w:pStyle w:val="0"/>
        <w:spacing w:before="200" w:line-rule="auto"/>
        <w:ind w:firstLine="540"/>
        <w:jc w:val="both"/>
      </w:pPr>
      <w:r>
        <w:rPr>
          <w:sz w:val="20"/>
        </w:rPr>
        <w:t xml:space="preserve">д) не находится в процессе реорганизации (за исключением реорганизации в форме присоединения к получателю гранта другого юридического лица), ликвидации, в отношении его не введена процедура банкротства, его деятельность не приостановлена в порядке, предусмотренном законодательством Российской Федерации;</w:t>
      </w:r>
    </w:p>
    <w:p>
      <w:pPr>
        <w:pStyle w:val="0"/>
        <w:spacing w:before="200" w:line-rule="auto"/>
        <w:ind w:firstLine="540"/>
        <w:jc w:val="both"/>
      </w:pPr>
      <w:r>
        <w:rPr>
          <w:sz w:val="20"/>
        </w:rPr>
        <w:t xml:space="preserve">е)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получателя гранта.</w:t>
      </w:r>
    </w:p>
    <w:bookmarkStart w:id="285" w:name="P285"/>
    <w:bookmarkEnd w:id="285"/>
    <w:p>
      <w:pPr>
        <w:pStyle w:val="0"/>
        <w:spacing w:before="200" w:line-rule="auto"/>
        <w:ind w:firstLine="540"/>
        <w:jc w:val="both"/>
      </w:pPr>
      <w:r>
        <w:rPr>
          <w:sz w:val="20"/>
        </w:rPr>
        <w:t xml:space="preserve">31. Для заключения соглашения получатель гранта представляет в Министерство науки и высшего образования Российской Федерации следующие документы:</w:t>
      </w:r>
    </w:p>
    <w:p>
      <w:pPr>
        <w:pStyle w:val="0"/>
        <w:spacing w:before="200" w:line-rule="auto"/>
        <w:ind w:firstLine="540"/>
        <w:jc w:val="both"/>
      </w:pPr>
      <w:r>
        <w:rPr>
          <w:sz w:val="20"/>
        </w:rPr>
        <w:t xml:space="preserve">а) справка об отсутствии у получателя гранта на 1-е число месяца, предшествующего месяцу, в котором планируется заключение соглашения,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подписанная руководителем или иным уполномоченным лицом, главным бухгалтером (при наличии) или иным должностным лицом получателя гранта, на которое возлагается ведение бухгалтерского учета;</w:t>
      </w:r>
    </w:p>
    <w:p>
      <w:pPr>
        <w:pStyle w:val="0"/>
        <w:spacing w:before="200" w:line-rule="auto"/>
        <w:ind w:firstLine="540"/>
        <w:jc w:val="both"/>
      </w:pPr>
      <w:r>
        <w:rPr>
          <w:sz w:val="20"/>
        </w:rPr>
        <w:t xml:space="preserve">б) справка об отсутствии у получателя гранта на 1-е число месяца, предшествующего месяцу, в котором планируется заключение соглашения, просроченной задолженности по возврату в федеральный бюджет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Российской Федерацией, подписанная руководителем или иным уполномоченным лицом, главным бухгалтером (при наличии) или иным должностным лицом получателя гранта, на которое возлагается ведение бухгалтерского учета;</w:t>
      </w:r>
    </w:p>
    <w:p>
      <w:pPr>
        <w:pStyle w:val="0"/>
        <w:jc w:val="both"/>
      </w:pPr>
      <w:r>
        <w:rPr>
          <w:sz w:val="20"/>
        </w:rPr>
        <w:t xml:space="preserve">(в ред. </w:t>
      </w:r>
      <w:hyperlink w:history="0" r:id="rId64" w:tooltip="Постановление Правительства РФ от 09.04.2022 N 63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09.04.2022 N 634)</w:t>
      </w:r>
    </w:p>
    <w:p>
      <w:pPr>
        <w:pStyle w:val="0"/>
        <w:spacing w:before="200" w:line-rule="auto"/>
        <w:ind w:firstLine="540"/>
        <w:jc w:val="both"/>
      </w:pPr>
      <w:r>
        <w:rPr>
          <w:sz w:val="20"/>
        </w:rPr>
        <w:t xml:space="preserve">в) справка о том, что получатель гранта на 1-е число месяца, предшествующего месяцу, в котором планируется заключение соглашения,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w:t>
      </w:r>
      <w:hyperlink w:history="0" r:id="rId65" w:tooltip="Приказ Минфина России от 13.11.2007 N 108н (ред. от 02.11.2017) &quot;Об утверждении Перечня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quot; (Зарегистрировано в Минюсте России 03.12.2007 N 10598) {КонсультантПлюс}">
        <w:r>
          <w:rPr>
            <w:sz w:val="20"/>
            <w:color w:val="0000ff"/>
          </w:rPr>
          <w:t xml:space="preserve">перечень</w:t>
        </w:r>
      </w:hyperlink>
      <w:r>
        <w:rPr>
          <w:sz w:val="20"/>
        </w:rP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 подписанная руководителем или иным уполномоченным лицом, главным бухгалтером (при наличии) или иным должностным лицом получателя гранта, на которое возлагается ведение бухгалтерского учета;</w:t>
      </w:r>
    </w:p>
    <w:p>
      <w:pPr>
        <w:pStyle w:val="0"/>
        <w:spacing w:before="200" w:line-rule="auto"/>
        <w:ind w:firstLine="540"/>
        <w:jc w:val="both"/>
      </w:pPr>
      <w:r>
        <w:rPr>
          <w:sz w:val="20"/>
        </w:rPr>
        <w:t xml:space="preserve">г) справка о том, что получатель гранта не получает из федерального бюджета средства в соответствии с иными нормативными правовыми актами Российской Федерации на цели, указанные в </w:t>
      </w:r>
      <w:hyperlink w:history="0" w:anchor="P52" w:tooltip="1. Настоящие Правила устанавливают цели, условия и порядок предоставления грантов в форме субсидий из федерального бюджета на оказание государственной поддержки научно-образовательных центров мирового уровня на основе интеграции образовательных организаций высшего образования и научных организаций и их кооперации с организациями, действующими в реальном секторе экономики, в рамках федерального проекта &quot;Развитие интеграционных процессов в сфере науки, высшего образования и индустрии&quot; национального проекта...">
        <w:r>
          <w:rPr>
            <w:sz w:val="20"/>
            <w:color w:val="0000ff"/>
          </w:rPr>
          <w:t xml:space="preserve">пункте 1</w:t>
        </w:r>
      </w:hyperlink>
      <w:r>
        <w:rPr>
          <w:sz w:val="20"/>
        </w:rPr>
        <w:t xml:space="preserve"> настоящих Правил, подписанная руководителем или иным уполномоченным лицом, главным бухгалтером (при наличии) или иным должностным лицом получателя гранта, на которое возлагается ведение бухгалтерского учета;</w:t>
      </w:r>
    </w:p>
    <w:p>
      <w:pPr>
        <w:pStyle w:val="0"/>
        <w:spacing w:before="200" w:line-rule="auto"/>
        <w:ind w:firstLine="540"/>
        <w:jc w:val="both"/>
      </w:pPr>
      <w:r>
        <w:rPr>
          <w:sz w:val="20"/>
        </w:rPr>
        <w:t xml:space="preserve">д) справка о том, что на 1-е число месяца, предшествующего месяцу, в котором планируется заключение соглашения, получатель гранта не находится в процессе реорганизации (за исключением реорганизации в форме присоединения к получателю гранта другого юридического лица), ликвидации, в отношении его не введена процедура банкротства, его деятельность не приостановлена в порядке, предусмотренном законодательством Российской Федерации, подписанная руководителем или иным уполномоченным лицом, главным бухгалтером (при наличии) или иным должностным лицом получателя гранта, на которое возлагается ведение бухгалтерского учета;</w:t>
      </w:r>
    </w:p>
    <w:p>
      <w:pPr>
        <w:pStyle w:val="0"/>
        <w:spacing w:before="200" w:line-rule="auto"/>
        <w:ind w:firstLine="540"/>
        <w:jc w:val="both"/>
      </w:pPr>
      <w:r>
        <w:rPr>
          <w:sz w:val="20"/>
        </w:rPr>
        <w:t xml:space="preserve">е) справка о том, что по состоянию на 1-е число месяца, предшествующего месяцу, в котором планируется заключение соглашения,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получателя гранта, подписанная руководителем или иным уполномоченным лицом получателя гранта.</w:t>
      </w:r>
    </w:p>
    <w:p>
      <w:pPr>
        <w:pStyle w:val="0"/>
        <w:spacing w:before="200" w:line-rule="auto"/>
        <w:ind w:firstLine="540"/>
        <w:jc w:val="both"/>
      </w:pPr>
      <w:r>
        <w:rPr>
          <w:sz w:val="20"/>
        </w:rPr>
        <w:t xml:space="preserve">32. Министерство науки и высшего образования Российской Федерации рассматривает документы, предусмотренные </w:t>
      </w:r>
      <w:hyperlink w:history="0" w:anchor="P285" w:tooltip="31. Для заключения соглашения получатель гранта представляет в Министерство науки и высшего образования Российской Федерации следующие документы:">
        <w:r>
          <w:rPr>
            <w:sz w:val="20"/>
            <w:color w:val="0000ff"/>
          </w:rPr>
          <w:t xml:space="preserve">пунктом 31</w:t>
        </w:r>
      </w:hyperlink>
      <w:r>
        <w:rPr>
          <w:sz w:val="20"/>
        </w:rPr>
        <w:t xml:space="preserve"> настоящих Правил, в течение 14 рабочих дней со дня их представления получателем гранта и принимает решение о заключении соглашения либо мотивированное решение об отказе в заключении соглашения по основаниям, указанным в </w:t>
      </w:r>
      <w:hyperlink w:history="0" w:anchor="P294" w:tooltip="33. Министерство науки и высшего образования Российской Федерации отказывает получателю гранта в заключении соглашения по следующим основаниям:">
        <w:r>
          <w:rPr>
            <w:sz w:val="20"/>
            <w:color w:val="0000ff"/>
          </w:rPr>
          <w:t xml:space="preserve">пункте 33</w:t>
        </w:r>
      </w:hyperlink>
      <w:r>
        <w:rPr>
          <w:sz w:val="20"/>
        </w:rPr>
        <w:t xml:space="preserve"> настоящих Правил.</w:t>
      </w:r>
    </w:p>
    <w:bookmarkStart w:id="294" w:name="P294"/>
    <w:bookmarkEnd w:id="294"/>
    <w:p>
      <w:pPr>
        <w:pStyle w:val="0"/>
        <w:spacing w:before="200" w:line-rule="auto"/>
        <w:ind w:firstLine="540"/>
        <w:jc w:val="both"/>
      </w:pPr>
      <w:r>
        <w:rPr>
          <w:sz w:val="20"/>
        </w:rPr>
        <w:t xml:space="preserve">33. Министерство науки и высшего образования Российской Федерации отказывает получателю гранта в заключении соглашения по следующим основаниям:</w:t>
      </w:r>
    </w:p>
    <w:p>
      <w:pPr>
        <w:pStyle w:val="0"/>
        <w:spacing w:before="200" w:line-rule="auto"/>
        <w:ind w:firstLine="540"/>
        <w:jc w:val="both"/>
      </w:pPr>
      <w:r>
        <w:rPr>
          <w:sz w:val="20"/>
        </w:rPr>
        <w:t xml:space="preserve">а) несоответствие получателя гранта требованиям, установленным </w:t>
      </w:r>
      <w:hyperlink w:history="0" w:anchor="P277" w:tooltip="30. Получатель гранта по состоянию на 1-е число месяца, предшествующего месяцу, в котором планируется заключение соглашения, должен соответствовать следующим требованиям:">
        <w:r>
          <w:rPr>
            <w:sz w:val="20"/>
            <w:color w:val="0000ff"/>
          </w:rPr>
          <w:t xml:space="preserve">пунктом 30</w:t>
        </w:r>
      </w:hyperlink>
      <w:r>
        <w:rPr>
          <w:sz w:val="20"/>
        </w:rPr>
        <w:t xml:space="preserve"> настоящих Правил;</w:t>
      </w:r>
    </w:p>
    <w:p>
      <w:pPr>
        <w:pStyle w:val="0"/>
        <w:spacing w:before="200" w:line-rule="auto"/>
        <w:ind w:firstLine="540"/>
        <w:jc w:val="both"/>
      </w:pPr>
      <w:r>
        <w:rPr>
          <w:sz w:val="20"/>
        </w:rPr>
        <w:t xml:space="preserve">б) непредставление (представление не в полном объеме) документов, предусмотренных </w:t>
      </w:r>
      <w:hyperlink w:history="0" w:anchor="P285" w:tooltip="31. Для заключения соглашения получатель гранта представляет в Министерство науки и высшего образования Российской Федерации следующие документы:">
        <w:r>
          <w:rPr>
            <w:sz w:val="20"/>
            <w:color w:val="0000ff"/>
          </w:rPr>
          <w:t xml:space="preserve">пунктом 31</w:t>
        </w:r>
      </w:hyperlink>
      <w:r>
        <w:rPr>
          <w:sz w:val="20"/>
        </w:rPr>
        <w:t xml:space="preserve"> настоящих Правил;</w:t>
      </w:r>
    </w:p>
    <w:p>
      <w:pPr>
        <w:pStyle w:val="0"/>
        <w:spacing w:before="200" w:line-rule="auto"/>
        <w:ind w:firstLine="540"/>
        <w:jc w:val="both"/>
      </w:pPr>
      <w:r>
        <w:rPr>
          <w:sz w:val="20"/>
        </w:rPr>
        <w:t xml:space="preserve">в) установление факта недостоверности представленной получателем гранта информации;</w:t>
      </w:r>
    </w:p>
    <w:p>
      <w:pPr>
        <w:pStyle w:val="0"/>
        <w:spacing w:before="200" w:line-rule="auto"/>
        <w:ind w:firstLine="540"/>
        <w:jc w:val="both"/>
      </w:pPr>
      <w:r>
        <w:rPr>
          <w:sz w:val="20"/>
        </w:rPr>
        <w:t xml:space="preserve">г) неподписание получателем гранта соглашения в течение 5 рабочих дней со дня его формирования и размещения Министерством науки и высшего образования Российской Федерации в системе "Электронный бюджет".</w:t>
      </w:r>
    </w:p>
    <w:p>
      <w:pPr>
        <w:pStyle w:val="0"/>
        <w:jc w:val="both"/>
      </w:pPr>
      <w:r>
        <w:rPr>
          <w:sz w:val="20"/>
        </w:rPr>
        <w:t xml:space="preserve">(в ред. </w:t>
      </w:r>
      <w:hyperlink w:history="0" r:id="rId66" w:tooltip="Постановление Правительства РФ от 09.04.2022 N 63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09.04.2022 N 634)</w:t>
      </w:r>
    </w:p>
    <w:p>
      <w:pPr>
        <w:pStyle w:val="0"/>
        <w:spacing w:before="200" w:line-rule="auto"/>
        <w:ind w:firstLine="540"/>
        <w:jc w:val="both"/>
      </w:pPr>
      <w:r>
        <w:rPr>
          <w:sz w:val="20"/>
        </w:rPr>
        <w:t xml:space="preserve">34. В случае принятия Министерством науки и высшего образования Российской Федерации решения об отказе получателю гранта в заключении соглашения по основаниям, предусмотренным </w:t>
      </w:r>
      <w:hyperlink w:history="0" w:anchor="P294" w:tooltip="33. Министерство науки и высшего образования Российской Федерации отказывает получателю гранта в заключении соглашения по следующим основаниям:">
        <w:r>
          <w:rPr>
            <w:sz w:val="20"/>
            <w:color w:val="0000ff"/>
          </w:rPr>
          <w:t xml:space="preserve">пунктом 33</w:t>
        </w:r>
      </w:hyperlink>
      <w:r>
        <w:rPr>
          <w:sz w:val="20"/>
        </w:rPr>
        <w:t xml:space="preserve"> настоящих Правил, Министерство науки и высшего образования Российской Федерации информирует Совет научно-образовательных центров мирового уровня о необходимости пересмотра решения о предоставлении гранта участнику центра.</w:t>
      </w:r>
    </w:p>
    <w:bookmarkStart w:id="301" w:name="P301"/>
    <w:bookmarkEnd w:id="301"/>
    <w:p>
      <w:pPr>
        <w:pStyle w:val="0"/>
        <w:spacing w:before="200" w:line-rule="auto"/>
        <w:ind w:firstLine="540"/>
        <w:jc w:val="both"/>
      </w:pPr>
      <w:r>
        <w:rPr>
          <w:sz w:val="20"/>
        </w:rPr>
        <w:t xml:space="preserve">35. Грант предоставляется на финансовое обеспечение затрат, связанных с достижением целей, указанных в </w:t>
      </w:r>
      <w:hyperlink w:history="0" w:anchor="P52" w:tooltip="1. Настоящие Правила устанавливают цели, условия и порядок предоставления грантов в форме субсидий из федерального бюджета на оказание государственной поддержки научно-образовательных центров мирового уровня на основе интеграции образовательных организаций высшего образования и научных организаций и их кооперации с организациями, действующими в реальном секторе экономики, в рамках федерального проекта &quot;Развитие интеграционных процессов в сфере науки, высшего образования и индустрии&quot; национального проекта...">
        <w:r>
          <w:rPr>
            <w:sz w:val="20"/>
            <w:color w:val="0000ff"/>
          </w:rPr>
          <w:t xml:space="preserve">пункте 1</w:t>
        </w:r>
      </w:hyperlink>
      <w:r>
        <w:rPr>
          <w:sz w:val="20"/>
        </w:rPr>
        <w:t xml:space="preserve"> настоящих Правил, и включающих в себя следующие направления расходов:</w:t>
      </w:r>
    </w:p>
    <w:p>
      <w:pPr>
        <w:pStyle w:val="0"/>
        <w:spacing w:before="200" w:line-rule="auto"/>
        <w:ind w:firstLine="540"/>
        <w:jc w:val="both"/>
      </w:pPr>
      <w:r>
        <w:rPr>
          <w:sz w:val="20"/>
        </w:rPr>
        <w:t xml:space="preserve">а) оплата труда работников участников центра, а также лиц, привлекаемых ими к реализации программ деятельности центра на условиях гражданско-правовых договоров, в том числе начисления на оплату труда, включая социальные выплаты;</w:t>
      </w:r>
    </w:p>
    <w:p>
      <w:pPr>
        <w:pStyle w:val="0"/>
        <w:jc w:val="both"/>
      </w:pPr>
      <w:r>
        <w:rPr>
          <w:sz w:val="20"/>
        </w:rPr>
        <w:t xml:space="preserve">(пп. "а" в ред. </w:t>
      </w:r>
      <w:hyperlink w:history="0" r:id="rId67" w:tooltip="Постановление Правительства РФ от 09.04.2022 N 63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09.04.2022 N 634)</w:t>
      </w:r>
    </w:p>
    <w:p>
      <w:pPr>
        <w:pStyle w:val="0"/>
        <w:spacing w:before="200" w:line-rule="auto"/>
        <w:ind w:firstLine="540"/>
        <w:jc w:val="both"/>
      </w:pPr>
      <w:r>
        <w:rPr>
          <w:sz w:val="20"/>
        </w:rPr>
        <w:t xml:space="preserve">б) расходы на приобретение оборудования, материалов и комплектующих для оборудования, иных нефинансовых активов, в том числе основных средств, нематериальных активов и материальных запасов, необходимых для реализации программы деятельности центра;</w:t>
      </w:r>
    </w:p>
    <w:p>
      <w:pPr>
        <w:pStyle w:val="0"/>
        <w:jc w:val="both"/>
      </w:pPr>
      <w:r>
        <w:rPr>
          <w:sz w:val="20"/>
        </w:rPr>
        <w:t xml:space="preserve">(пп. "б" в ред. </w:t>
      </w:r>
      <w:hyperlink w:history="0" r:id="rId68" w:tooltip="Постановление Правительства РФ от 09.04.2022 N 63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09.04.2022 N 634)</w:t>
      </w:r>
    </w:p>
    <w:p>
      <w:pPr>
        <w:pStyle w:val="0"/>
        <w:spacing w:before="200" w:line-rule="auto"/>
        <w:ind w:firstLine="540"/>
        <w:jc w:val="both"/>
      </w:pPr>
      <w:r>
        <w:rPr>
          <w:sz w:val="20"/>
        </w:rPr>
        <w:t xml:space="preserve">в) командировочные расходы работников участников центра, а также лиц, привлекаемых ими к реализации программы деятельности центра на условиях гражданско-правовых договоров;</w:t>
      </w:r>
    </w:p>
    <w:p>
      <w:pPr>
        <w:pStyle w:val="0"/>
        <w:jc w:val="both"/>
      </w:pPr>
      <w:r>
        <w:rPr>
          <w:sz w:val="20"/>
        </w:rPr>
        <w:t xml:space="preserve">(в ред. </w:t>
      </w:r>
      <w:hyperlink w:history="0" r:id="rId69" w:tooltip="Постановление Правительства РФ от 09.04.2022 N 63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09.04.2022 N 634)</w:t>
      </w:r>
    </w:p>
    <w:p>
      <w:pPr>
        <w:pStyle w:val="0"/>
        <w:spacing w:before="200" w:line-rule="auto"/>
        <w:ind w:firstLine="540"/>
        <w:jc w:val="both"/>
      </w:pPr>
      <w:r>
        <w:rPr>
          <w:sz w:val="20"/>
        </w:rPr>
        <w:t xml:space="preserve">г) оплата патентных сервисов (патентный поиск, патентные стратегии, патентная защита, продвижение патентов и др.);</w:t>
      </w:r>
    </w:p>
    <w:p>
      <w:pPr>
        <w:pStyle w:val="0"/>
        <w:spacing w:before="200" w:line-rule="auto"/>
        <w:ind w:firstLine="540"/>
        <w:jc w:val="both"/>
      </w:pPr>
      <w:r>
        <w:rPr>
          <w:sz w:val="20"/>
        </w:rPr>
        <w:t xml:space="preserve">д) мероприятия программы деятельности центра, связанные с развитием его инфраструктуры;</w:t>
      </w:r>
    </w:p>
    <w:p>
      <w:pPr>
        <w:pStyle w:val="0"/>
        <w:spacing w:before="200" w:line-rule="auto"/>
        <w:ind w:firstLine="540"/>
        <w:jc w:val="both"/>
      </w:pPr>
      <w:r>
        <w:rPr>
          <w:sz w:val="20"/>
        </w:rPr>
        <w:t xml:space="preserve">е) оплата стажировок, в том числе зарубежных, работников участников центра, а также лиц, привлекаемых ими к реализации программы деятельности центра на условиях гражданско-правовых договоров, и освоение ими дополнительных профессиональных программ;</w:t>
      </w:r>
    </w:p>
    <w:p>
      <w:pPr>
        <w:pStyle w:val="0"/>
        <w:spacing w:before="200" w:line-rule="auto"/>
        <w:ind w:firstLine="540"/>
        <w:jc w:val="both"/>
      </w:pPr>
      <w:r>
        <w:rPr>
          <w:sz w:val="20"/>
        </w:rPr>
        <w:t xml:space="preserve">ж) разработка и внедрение образовательных программ высшего образования, дополнительных профессиональных программ, ранее не реализуемых участниками центра, реализация мер по академической мобильности обучающихся и научно-педагогических работников, привлечению в центр молодых исследователей и педагогических работников;</w:t>
      </w:r>
    </w:p>
    <w:p>
      <w:pPr>
        <w:pStyle w:val="0"/>
        <w:spacing w:before="200" w:line-rule="auto"/>
        <w:ind w:firstLine="540"/>
        <w:jc w:val="both"/>
      </w:pPr>
      <w:r>
        <w:rPr>
          <w:sz w:val="20"/>
        </w:rPr>
        <w:t xml:space="preserve">з) обеспечение деятельности центра развития компетенций руководителей научных, научно-технических проектов и лабораторий;</w:t>
      </w:r>
    </w:p>
    <w:p>
      <w:pPr>
        <w:pStyle w:val="0"/>
        <w:spacing w:before="200" w:line-rule="auto"/>
        <w:ind w:firstLine="540"/>
        <w:jc w:val="both"/>
      </w:pPr>
      <w:r>
        <w:rPr>
          <w:sz w:val="20"/>
        </w:rPr>
        <w:t xml:space="preserve">и) расходы, связанные с опубликованием научных статей и изданием монографий участниками центра;</w:t>
      </w:r>
    </w:p>
    <w:p>
      <w:pPr>
        <w:pStyle w:val="0"/>
        <w:jc w:val="both"/>
      </w:pPr>
      <w:r>
        <w:rPr>
          <w:sz w:val="20"/>
        </w:rPr>
        <w:t xml:space="preserve">(пп. "и" введен </w:t>
      </w:r>
      <w:hyperlink w:history="0" r:id="rId70" w:tooltip="Постановление Правительства РФ от 09.04.2022 N 634 &quot;О внесении изменений в некоторые акты Правительства Российской Федерации&quot; {КонсультантПлюс}">
        <w:r>
          <w:rPr>
            <w:sz w:val="20"/>
            <w:color w:val="0000ff"/>
          </w:rPr>
          <w:t xml:space="preserve">Постановлением</w:t>
        </w:r>
      </w:hyperlink>
      <w:r>
        <w:rPr>
          <w:sz w:val="20"/>
        </w:rPr>
        <w:t xml:space="preserve"> Правительства РФ от 09.04.2022 N 634)</w:t>
      </w:r>
    </w:p>
    <w:p>
      <w:pPr>
        <w:pStyle w:val="0"/>
        <w:spacing w:before="200" w:line-rule="auto"/>
        <w:ind w:firstLine="540"/>
        <w:jc w:val="both"/>
      </w:pPr>
      <w:r>
        <w:rPr>
          <w:sz w:val="20"/>
        </w:rPr>
        <w:t xml:space="preserve">к) оплата профессиональной переподготовки и повышения квалификации работников участников центра;</w:t>
      </w:r>
    </w:p>
    <w:p>
      <w:pPr>
        <w:pStyle w:val="0"/>
        <w:jc w:val="both"/>
      </w:pPr>
      <w:r>
        <w:rPr>
          <w:sz w:val="20"/>
        </w:rPr>
        <w:t xml:space="preserve">(пп. "к" введен </w:t>
      </w:r>
      <w:hyperlink w:history="0" r:id="rId71" w:tooltip="Постановление Правительства РФ от 09.04.2022 N 634 &quot;О внесении изменений в некоторые акты Правительства Российской Федерации&quot; {КонсультантПлюс}">
        <w:r>
          <w:rPr>
            <w:sz w:val="20"/>
            <w:color w:val="0000ff"/>
          </w:rPr>
          <w:t xml:space="preserve">Постановлением</w:t>
        </w:r>
      </w:hyperlink>
      <w:r>
        <w:rPr>
          <w:sz w:val="20"/>
        </w:rPr>
        <w:t xml:space="preserve"> Правительства РФ от 09.04.2022 N 634)</w:t>
      </w:r>
    </w:p>
    <w:p>
      <w:pPr>
        <w:pStyle w:val="0"/>
        <w:spacing w:before="200" w:line-rule="auto"/>
        <w:ind w:firstLine="540"/>
        <w:jc w:val="both"/>
      </w:pPr>
      <w:r>
        <w:rPr>
          <w:sz w:val="20"/>
        </w:rPr>
        <w:t xml:space="preserve">л) оплата работ, услуг, в том числе услуг связи, транспортных услуг, коммунальных и эксплуатационных услуг, арендной платы за пользование имуществом (за исключением земельных участков и других обособленных природных объектов), оплата работ и услуг по содержанию имущества и прочих расходов, соответствующих целям предоставления гранта;</w:t>
      </w:r>
    </w:p>
    <w:p>
      <w:pPr>
        <w:pStyle w:val="0"/>
        <w:jc w:val="both"/>
      </w:pPr>
      <w:r>
        <w:rPr>
          <w:sz w:val="20"/>
        </w:rPr>
        <w:t xml:space="preserve">(пп. "л" введен </w:t>
      </w:r>
      <w:hyperlink w:history="0" r:id="rId72" w:tooltip="Постановление Правительства РФ от 09.04.2022 N 634 &quot;О внесении изменений в некоторые акты Правительства Российской Федерации&quot; {КонсультантПлюс}">
        <w:r>
          <w:rPr>
            <w:sz w:val="20"/>
            <w:color w:val="0000ff"/>
          </w:rPr>
          <w:t xml:space="preserve">Постановлением</w:t>
        </w:r>
      </w:hyperlink>
      <w:r>
        <w:rPr>
          <w:sz w:val="20"/>
        </w:rPr>
        <w:t xml:space="preserve"> Правительства РФ от 09.04.2022 N 634)</w:t>
      </w:r>
    </w:p>
    <w:p>
      <w:pPr>
        <w:pStyle w:val="0"/>
        <w:spacing w:before="200" w:line-rule="auto"/>
        <w:ind w:firstLine="540"/>
        <w:jc w:val="both"/>
      </w:pPr>
      <w:r>
        <w:rPr>
          <w:sz w:val="20"/>
        </w:rPr>
        <w:t xml:space="preserve">м) оплата участия в конференциях, научных семинарах, симпозиумах, направленных на реализацию мероприятий программы деятельности центра.</w:t>
      </w:r>
    </w:p>
    <w:p>
      <w:pPr>
        <w:pStyle w:val="0"/>
        <w:jc w:val="both"/>
      </w:pPr>
      <w:r>
        <w:rPr>
          <w:sz w:val="20"/>
        </w:rPr>
        <w:t xml:space="preserve">(пп. "м" введен </w:t>
      </w:r>
      <w:hyperlink w:history="0" r:id="rId73" w:tooltip="Постановление Правительства РФ от 09.04.2022 N 634 &quot;О внесении изменений в некоторые акты Правительства Российской Федерации&quot; {КонсультантПлюс}">
        <w:r>
          <w:rPr>
            <w:sz w:val="20"/>
            <w:color w:val="0000ff"/>
          </w:rPr>
          <w:t xml:space="preserve">Постановлением</w:t>
        </w:r>
      </w:hyperlink>
      <w:r>
        <w:rPr>
          <w:sz w:val="20"/>
        </w:rPr>
        <w:t xml:space="preserve"> Правительства РФ от 09.04.2022 N 634)</w:t>
      </w:r>
    </w:p>
    <w:p>
      <w:pPr>
        <w:pStyle w:val="0"/>
        <w:spacing w:before="200" w:line-rule="auto"/>
        <w:ind w:firstLine="540"/>
        <w:jc w:val="both"/>
      </w:pPr>
      <w:r>
        <w:rPr>
          <w:sz w:val="20"/>
        </w:rPr>
        <w:t xml:space="preserve">36. Оценка эффективности осуществления получателем гранта расходов, источником финансового обеспечения которых является грант, осуществляется на основе достижения в отчетном году предусмотренных программой деятельности центра мероприятий программы и достижения показателей, указанных в </w:t>
      </w:r>
      <w:hyperlink w:history="0" w:anchor="P179" w:tooltip="д) следующие показатели деятельности участников центра за 3 года, предшествующие подаче заявки, а также показатели, планируемые к достижению в рамках реализации программы деятельности центра:">
        <w:r>
          <w:rPr>
            <w:sz w:val="20"/>
            <w:color w:val="0000ff"/>
          </w:rPr>
          <w:t xml:space="preserve">подпункте "д" пункта 11</w:t>
        </w:r>
      </w:hyperlink>
      <w:r>
        <w:rPr>
          <w:sz w:val="20"/>
        </w:rPr>
        <w:t xml:space="preserve"> настоящих Правил, необходимых для достижения результата предоставления гранта и установленных в соглашении.</w:t>
      </w:r>
    </w:p>
    <w:p>
      <w:pPr>
        <w:pStyle w:val="0"/>
        <w:spacing w:before="200" w:line-rule="auto"/>
        <w:ind w:firstLine="540"/>
        <w:jc w:val="both"/>
      </w:pPr>
      <w:r>
        <w:rPr>
          <w:sz w:val="20"/>
        </w:rPr>
        <w:t xml:space="preserve">37. Перечисление грантов осуществляется:</w:t>
      </w:r>
    </w:p>
    <w:p>
      <w:pPr>
        <w:pStyle w:val="0"/>
        <w:spacing w:before="200" w:line-rule="auto"/>
        <w:ind w:firstLine="540"/>
        <w:jc w:val="both"/>
      </w:pPr>
      <w:r>
        <w:rPr>
          <w:sz w:val="20"/>
        </w:rPr>
        <w:t xml:space="preserve">а) юридическим лицам, за исключением бюджетных (автономных) учреждений, - на казначейский счет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 открытый в территориальном органе Федерального казначейства, не позднее 2-го рабочего дня после представления в территориальный орган Федерального казначейства получателем гранта распоряжений о совершении казначейских платежей для оплаты денежного обязательства получателя гранта;</w:t>
      </w:r>
    </w:p>
    <w:p>
      <w:pPr>
        <w:pStyle w:val="0"/>
        <w:spacing w:before="200" w:line-rule="auto"/>
        <w:ind w:firstLine="540"/>
        <w:jc w:val="both"/>
      </w:pPr>
      <w:r>
        <w:rPr>
          <w:sz w:val="20"/>
        </w:rPr>
        <w:t xml:space="preserve">б) бюджетным (автономным) учреждениям - на лицевые счета, открытые в территориальном органе Федерального казначейства или финансовом органе субъекта Российской Федерации (муниципального образования) в сроки, установленные соглашением.</w:t>
      </w:r>
    </w:p>
    <w:p>
      <w:pPr>
        <w:pStyle w:val="0"/>
        <w:spacing w:before="200" w:line-rule="auto"/>
        <w:ind w:firstLine="540"/>
        <w:jc w:val="both"/>
      </w:pPr>
      <w:r>
        <w:rPr>
          <w:sz w:val="20"/>
        </w:rPr>
        <w:t xml:space="preserve">38. Министерство науки и высшего образования Российской Федерации и органы государственного финансового контроля проводят проверки соблюдения получателем гранта целей, условий и порядка предоставления гранта, которые установлены настоящими Правилами и соглашением.</w:t>
      </w:r>
    </w:p>
    <w:p>
      <w:pPr>
        <w:pStyle w:val="0"/>
        <w:jc w:val="both"/>
      </w:pPr>
      <w:r>
        <w:rPr>
          <w:sz w:val="20"/>
        </w:rPr>
        <w:t xml:space="preserve">(в ред. </w:t>
      </w:r>
      <w:hyperlink w:history="0" r:id="rId74" w:tooltip="Постановление Правительства РФ от 09.04.2022 N 63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09.04.2022 N 634)</w:t>
      </w:r>
    </w:p>
    <w:p>
      <w:pPr>
        <w:pStyle w:val="0"/>
        <w:spacing w:before="200" w:line-rule="auto"/>
        <w:ind w:firstLine="540"/>
        <w:jc w:val="both"/>
      </w:pPr>
      <w:r>
        <w:rPr>
          <w:sz w:val="20"/>
        </w:rPr>
        <w:t xml:space="preserve">38(1). Министерство науки и высшего образования Российской Федерации проводит мониторинг достижения результата предоставления гранта исходя из достижения значений результата предоставления гранта, определенных соглашением, и событий, отражающих факт завершения соответствующего мероприятия по получению результата предоставления гранта (контрольная точка), в </w:t>
      </w:r>
      <w:hyperlink w:history="0" r:id="rId75" w:tooltip="Приказ Минфина России от 29.09.2021 N 138н &quot;Об утверждении Порядка проведения мониторинга достижения результатов предоставления субсидий, в том числе грантов в форме субсидий, юридическим лицам, индивидуальным предпринимателям, физическим лицам - производителям товаров, работ, услуг&quot; (Зарегистрировано в Минюсте России 12.11.2021 N 65786) {КонсультантПлюс}">
        <w:r>
          <w:rPr>
            <w:sz w:val="20"/>
            <w:color w:val="0000ff"/>
          </w:rPr>
          <w:t xml:space="preserve">порядке</w:t>
        </w:r>
      </w:hyperlink>
      <w:r>
        <w:rPr>
          <w:sz w:val="20"/>
        </w:rPr>
        <w:t xml:space="preserve"> и по формам, которые установлены Министерством финансов Российской Федерации.</w:t>
      </w:r>
    </w:p>
    <w:p>
      <w:pPr>
        <w:pStyle w:val="0"/>
        <w:jc w:val="both"/>
      </w:pPr>
      <w:r>
        <w:rPr>
          <w:sz w:val="20"/>
        </w:rPr>
        <w:t xml:space="preserve">(п. 38(1) введен </w:t>
      </w:r>
      <w:hyperlink w:history="0" r:id="rId76" w:tooltip="Постановление Правительства РФ от 09.04.2022 N 634 &quot;О внесении изменений в некоторые акты Правительства Российской Федерации&quot; {КонсультантПлюс}">
        <w:r>
          <w:rPr>
            <w:sz w:val="20"/>
            <w:color w:val="0000ff"/>
          </w:rPr>
          <w:t xml:space="preserve">Постановлением</w:t>
        </w:r>
      </w:hyperlink>
      <w:r>
        <w:rPr>
          <w:sz w:val="20"/>
        </w:rPr>
        <w:t xml:space="preserve"> Правительства РФ от 09.04.2022 N 634)</w:t>
      </w:r>
    </w:p>
    <w:p>
      <w:pPr>
        <w:pStyle w:val="0"/>
        <w:spacing w:before="200" w:line-rule="auto"/>
        <w:ind w:firstLine="540"/>
        <w:jc w:val="both"/>
      </w:pPr>
      <w:r>
        <w:rPr>
          <w:sz w:val="20"/>
        </w:rPr>
        <w:t xml:space="preserve">39. В случае установления по итогам проверок, проведенных Министерством науки и высшего образования Российской Федерации и органом государственного финансового контроля, факта нарушения целей, условий и порядка предоставления гранта, а также в случае недостижения значений результата предоставления гранта в соответствии с программой деятельности центра, предусмотренных соглашением, соответствующие средства в размере, определенном на основании выявленных нарушений, подлежат возврату в доход федерального бюджета:</w:t>
      </w:r>
    </w:p>
    <w:p>
      <w:pPr>
        <w:pStyle w:val="0"/>
        <w:jc w:val="both"/>
      </w:pPr>
      <w:r>
        <w:rPr>
          <w:sz w:val="20"/>
        </w:rPr>
        <w:t xml:space="preserve">(в ред. </w:t>
      </w:r>
      <w:hyperlink w:history="0" r:id="rId77" w:tooltip="Постановление Правительства РФ от 09.04.2022 N 63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09.04.2022 N 634)</w:t>
      </w:r>
    </w:p>
    <w:p>
      <w:pPr>
        <w:pStyle w:val="0"/>
        <w:spacing w:before="200" w:line-rule="auto"/>
        <w:ind w:firstLine="540"/>
        <w:jc w:val="both"/>
      </w:pPr>
      <w:r>
        <w:rPr>
          <w:sz w:val="20"/>
        </w:rPr>
        <w:t xml:space="preserve">а) на основании требования Министерства науки и высшего образования Российской Федерации, направленного заказным почтовым отправлением с уведомлением о вручении, - не позднее 15 рабочих дней со дня получения соответствующего требования получателем гранта;</w:t>
      </w:r>
    </w:p>
    <w:p>
      <w:pPr>
        <w:pStyle w:val="0"/>
        <w:spacing w:before="200" w:line-rule="auto"/>
        <w:ind w:firstLine="540"/>
        <w:jc w:val="both"/>
      </w:pPr>
      <w:r>
        <w:rPr>
          <w:sz w:val="20"/>
        </w:rPr>
        <w:t xml:space="preserve">б) на основании представления и (или) предписания органа государственного финансового контроля - в срок, установленный в соответствии с бюджетным законодательством Российской Федерации.</w:t>
      </w:r>
    </w:p>
    <w:p>
      <w:pPr>
        <w:pStyle w:val="0"/>
        <w:spacing w:before="200" w:line-rule="auto"/>
        <w:ind w:firstLine="540"/>
        <w:jc w:val="both"/>
      </w:pPr>
      <w:r>
        <w:rPr>
          <w:sz w:val="20"/>
        </w:rPr>
        <w:t xml:space="preserve">40. В случае недостижения получателем гранта установленных в соглашении и предусмотренных программой деятельности центра мероприятий программы и показателей, указанных в </w:t>
      </w:r>
      <w:hyperlink w:history="0" w:anchor="P179" w:tooltip="д) следующие показатели деятельности участников центра за 3 года, предшествующие подаче заявки, а также показатели, планируемые к достижению в рамках реализации программы деятельности центра:">
        <w:r>
          <w:rPr>
            <w:sz w:val="20"/>
            <w:color w:val="0000ff"/>
          </w:rPr>
          <w:t xml:space="preserve">подпункте "д" пункта 11</w:t>
        </w:r>
      </w:hyperlink>
      <w:r>
        <w:rPr>
          <w:sz w:val="20"/>
        </w:rPr>
        <w:t xml:space="preserve"> настоящих Правил, необходимых для достижения значений результата предоставления гранта, к получателю гранта применяется мера ответственности в форме возврата гранта в федеральный бюджет, размер которого определяется в соответствии с </w:t>
      </w:r>
      <w:hyperlink w:history="0" w:anchor="P335" w:tooltip="41. Размер подлежащего возврату гранта в федеральный бюджет (A) определяется по формуле:">
        <w:r>
          <w:rPr>
            <w:sz w:val="20"/>
            <w:color w:val="0000ff"/>
          </w:rPr>
          <w:t xml:space="preserve">пунктом 41</w:t>
        </w:r>
      </w:hyperlink>
      <w:r>
        <w:rPr>
          <w:sz w:val="20"/>
        </w:rPr>
        <w:t xml:space="preserve"> настоящих Правил.</w:t>
      </w:r>
    </w:p>
    <w:p>
      <w:pPr>
        <w:pStyle w:val="0"/>
        <w:jc w:val="both"/>
      </w:pPr>
      <w:r>
        <w:rPr>
          <w:sz w:val="20"/>
        </w:rPr>
        <w:t xml:space="preserve">(в ред. </w:t>
      </w:r>
      <w:hyperlink w:history="0" r:id="rId78" w:tooltip="Постановление Правительства РФ от 09.04.2022 N 63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09.04.2022 N 634)</w:t>
      </w:r>
    </w:p>
    <w:bookmarkStart w:id="335" w:name="P335"/>
    <w:bookmarkEnd w:id="335"/>
    <w:p>
      <w:pPr>
        <w:pStyle w:val="0"/>
        <w:spacing w:before="200" w:line-rule="auto"/>
        <w:ind w:firstLine="540"/>
        <w:jc w:val="both"/>
      </w:pPr>
      <w:r>
        <w:rPr>
          <w:sz w:val="20"/>
        </w:rPr>
        <w:t xml:space="preserve">41. Размер подлежащего возврату гранта в федеральный бюджет (A) определяется по формуле:</w:t>
      </w:r>
    </w:p>
    <w:p>
      <w:pPr>
        <w:pStyle w:val="0"/>
        <w:jc w:val="both"/>
      </w:pPr>
      <w:r>
        <w:rPr>
          <w:sz w:val="20"/>
        </w:rPr>
      </w:r>
    </w:p>
    <w:p>
      <w:pPr>
        <w:pStyle w:val="0"/>
        <w:jc w:val="center"/>
      </w:pPr>
      <w:r>
        <w:rPr>
          <w:position w:val="-25"/>
        </w:rPr>
        <w:drawing>
          <wp:inline distT="0" distB="0" distL="0" distR="0">
            <wp:extent cx="1209675" cy="4476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9">
                      <a:extLst>
                        <a:ext uri="{28A0092B-C50C-407E-A947-70E740481C1C}">
                          <a14:useLocalDpi xmlns:a14="http://schemas.microsoft.com/office/drawing/2010/main" val="0"/>
                        </a:ext>
                      </a:extLst>
                    </a:blip>
                    <a:srcRect/>
                    <a:stretch>
                      <a:fillRect/>
                    </a:stretch>
                  </pic:blipFill>
                  <pic:spPr bwMode="auto">
                    <a:xfrm>
                      <a:off x="0" y="0"/>
                      <a:ext cx="1209675" cy="447675"/>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V - размер гранта, предоставленного в отчетном периоде для финансового обеспечения реализации программы деятельности центра;</w:t>
      </w:r>
    </w:p>
    <w:p>
      <w:pPr>
        <w:pStyle w:val="0"/>
        <w:spacing w:before="200" w:line-rule="auto"/>
        <w:ind w:firstLine="540"/>
        <w:jc w:val="both"/>
      </w:pPr>
      <w:r>
        <w:rPr>
          <w:sz w:val="20"/>
        </w:rPr>
        <w:t xml:space="preserve">M - общее количество целевых индикаторов программы деятельности центра;</w:t>
      </w:r>
    </w:p>
    <w:p>
      <w:pPr>
        <w:pStyle w:val="0"/>
        <w:spacing w:before="200" w:line-rule="auto"/>
        <w:ind w:firstLine="540"/>
        <w:jc w:val="both"/>
      </w:pPr>
      <w:r>
        <w:rPr>
          <w:sz w:val="20"/>
        </w:rPr>
        <w:t xml:space="preserve">n - количество целевых индикаторов программы деятельности центра, достигнутое значение которых ниже целевого значения;</w:t>
      </w:r>
    </w:p>
    <w:p>
      <w:pPr>
        <w:pStyle w:val="0"/>
        <w:spacing w:before="200" w:line-rule="auto"/>
        <w:ind w:firstLine="540"/>
        <w:jc w:val="both"/>
      </w:pPr>
      <w:r>
        <w:rPr>
          <w:sz w:val="20"/>
        </w:rPr>
        <w:t xml:space="preserve">d</w:t>
      </w:r>
      <w:r>
        <w:rPr>
          <w:sz w:val="20"/>
          <w:vertAlign w:val="subscript"/>
        </w:rPr>
        <w:t xml:space="preserve">i</w:t>
      </w:r>
      <w:r>
        <w:rPr>
          <w:sz w:val="20"/>
        </w:rPr>
        <w:t xml:space="preserve"> - фактическое значение в отчетном периоде i-го индикатора программы деятельности центра;</w:t>
      </w:r>
    </w:p>
    <w:p>
      <w:pPr>
        <w:pStyle w:val="0"/>
        <w:spacing w:before="200" w:line-rule="auto"/>
        <w:ind w:firstLine="540"/>
        <w:jc w:val="both"/>
      </w:pPr>
      <w:r>
        <w:rPr>
          <w:sz w:val="20"/>
        </w:rPr>
        <w:t xml:space="preserve">D</w:t>
      </w:r>
      <w:r>
        <w:rPr>
          <w:sz w:val="20"/>
          <w:vertAlign w:val="subscript"/>
        </w:rPr>
        <w:t xml:space="preserve">i</w:t>
      </w:r>
      <w:r>
        <w:rPr>
          <w:sz w:val="20"/>
        </w:rPr>
        <w:t xml:space="preserve"> - плановое значение в отчетном периоде i-го индикатора программы деятельности центра.</w:t>
      </w:r>
    </w:p>
    <w:p>
      <w:pPr>
        <w:pStyle w:val="0"/>
        <w:spacing w:before="200" w:line-rule="auto"/>
        <w:ind w:firstLine="540"/>
        <w:jc w:val="both"/>
      </w:pPr>
      <w:r>
        <w:rPr>
          <w:sz w:val="20"/>
        </w:rPr>
        <w:t xml:space="preserve">42. В случае недостижения получателем гранта установленных в соглашении и предусмотренных программой деятельности центра мероприятий программы и показателей, указанных в </w:t>
      </w:r>
      <w:hyperlink w:history="0" w:anchor="P179" w:tooltip="д) следующие показатели деятельности участников центра за 3 года, предшествующие подаче заявки, а также показатели, планируемые к достижению в рамках реализации программы деятельности центра:">
        <w:r>
          <w:rPr>
            <w:sz w:val="20"/>
            <w:color w:val="0000ff"/>
          </w:rPr>
          <w:t xml:space="preserve">подпункте "д" пункта 11</w:t>
        </w:r>
      </w:hyperlink>
      <w:r>
        <w:rPr>
          <w:sz w:val="20"/>
        </w:rPr>
        <w:t xml:space="preserve"> настоящих Правил, необходимых для достижения значений результата предоставления гранта, в результате наступления обстоятельств непреодолимой силы мера ответственности в форме возврата гранта в федеральный бюджет не применяется.</w:t>
      </w:r>
    </w:p>
    <w:p>
      <w:pPr>
        <w:pStyle w:val="0"/>
        <w:jc w:val="both"/>
      </w:pPr>
      <w:r>
        <w:rPr>
          <w:sz w:val="20"/>
        </w:rPr>
        <w:t xml:space="preserve">(в ред. </w:t>
      </w:r>
      <w:hyperlink w:history="0" r:id="rId80" w:tooltip="Постановление Правительства РФ от 09.04.2022 N 63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09.04.2022 N 634)</w:t>
      </w:r>
    </w:p>
    <w:p>
      <w:pPr>
        <w:pStyle w:val="0"/>
        <w:spacing w:before="200" w:line-rule="auto"/>
        <w:ind w:firstLine="540"/>
        <w:jc w:val="both"/>
      </w:pPr>
      <w:r>
        <w:rPr>
          <w:sz w:val="20"/>
        </w:rPr>
        <w:t xml:space="preserve">43. Отчет об осуществлении расходов, источником финансового обеспечения которых является грант, представляется получателем гранта ежеквартально и ежегодно в Министерство науки и высшего образования Российской Федерации в следующие сроки:</w:t>
      </w:r>
    </w:p>
    <w:p>
      <w:pPr>
        <w:pStyle w:val="0"/>
        <w:spacing w:before="200" w:line-rule="auto"/>
        <w:ind w:firstLine="540"/>
        <w:jc w:val="both"/>
      </w:pPr>
      <w:r>
        <w:rPr>
          <w:sz w:val="20"/>
        </w:rPr>
        <w:t xml:space="preserve">отчеты, составленные на 1-е число месяца, следующего за отчетным периодом, - ежеквартально, в течение 15 рабочих дней со дня окончания отчетного периода;</w:t>
      </w:r>
    </w:p>
    <w:p>
      <w:pPr>
        <w:pStyle w:val="0"/>
        <w:spacing w:before="200" w:line-rule="auto"/>
        <w:ind w:firstLine="540"/>
        <w:jc w:val="both"/>
      </w:pPr>
      <w:r>
        <w:rPr>
          <w:sz w:val="20"/>
        </w:rPr>
        <w:t xml:space="preserve">отчеты, составленные на 1 января года, следующего за отчетным годом, - ежегодно, не позднее 45-го рабочего дня, следующего за отчетным годом.</w:t>
      </w:r>
    </w:p>
    <w:p>
      <w:pPr>
        <w:pStyle w:val="0"/>
        <w:spacing w:before="200" w:line-rule="auto"/>
        <w:ind w:firstLine="540"/>
        <w:jc w:val="both"/>
      </w:pPr>
      <w:r>
        <w:rPr>
          <w:sz w:val="20"/>
        </w:rPr>
        <w:t xml:space="preserve">Указанные отчеты, подписанные руководителем получателя гранта или иным уполномоченным лицом и главным бухгалтером (при наличии) с указанием даты подписания отчетов, представляются по форме, определенной типовой формой соглашения о предоставлении гранта, установленной Министерством финансов Российской Федерации, в системе "Электронный бюджет", а также на бумажном носителе с приложением электронных копий документов по требованию Министерства науки и высшего образования Российской Федерации.</w:t>
      </w:r>
    </w:p>
    <w:p>
      <w:pPr>
        <w:pStyle w:val="0"/>
        <w:jc w:val="both"/>
      </w:pPr>
      <w:r>
        <w:rPr>
          <w:sz w:val="20"/>
        </w:rPr>
        <w:t xml:space="preserve">(п. 43 в ред. </w:t>
      </w:r>
      <w:hyperlink w:history="0" r:id="rId81" w:tooltip="Постановление Правительства РФ от 09.04.2022 N 63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09.04.2022 N 634)</w:t>
      </w:r>
    </w:p>
    <w:p>
      <w:pPr>
        <w:pStyle w:val="0"/>
        <w:spacing w:before="200" w:line-rule="auto"/>
        <w:ind w:firstLine="540"/>
        <w:jc w:val="both"/>
      </w:pPr>
      <w:r>
        <w:rPr>
          <w:sz w:val="20"/>
        </w:rPr>
        <w:t xml:space="preserve">43(1). Отчеты о достижении значений результата предоставления гранта и показателей, необходимых для достижения значений результата предоставления гранта, представляются получателем гранта ежеквартально и ежегодно в Министерство науки и высшего образования Российской Федерации в следующие сроки:</w:t>
      </w:r>
    </w:p>
    <w:p>
      <w:pPr>
        <w:pStyle w:val="0"/>
        <w:spacing w:before="200" w:line-rule="auto"/>
        <w:ind w:firstLine="540"/>
        <w:jc w:val="both"/>
      </w:pPr>
      <w:r>
        <w:rPr>
          <w:sz w:val="20"/>
        </w:rPr>
        <w:t xml:space="preserve">отчеты, составленные на 1-е число месяца, следующего за отчетным периодом, - ежеквартально, в течение 15 рабочих дней со дня окончания отчетного периода;</w:t>
      </w:r>
    </w:p>
    <w:p>
      <w:pPr>
        <w:pStyle w:val="0"/>
        <w:spacing w:before="200" w:line-rule="auto"/>
        <w:ind w:firstLine="540"/>
        <w:jc w:val="both"/>
      </w:pPr>
      <w:r>
        <w:rPr>
          <w:sz w:val="20"/>
        </w:rPr>
        <w:t xml:space="preserve">отчеты, составленные на 1 января года, следующего за отчетным годом, - ежегодно, не позднее 45-го рабочего дня, следующего за отчетным годом.</w:t>
      </w:r>
    </w:p>
    <w:p>
      <w:pPr>
        <w:pStyle w:val="0"/>
        <w:spacing w:before="200" w:line-rule="auto"/>
        <w:ind w:firstLine="540"/>
        <w:jc w:val="both"/>
      </w:pPr>
      <w:r>
        <w:rPr>
          <w:sz w:val="20"/>
        </w:rPr>
        <w:t xml:space="preserve">Указанные отчеты, подписанные руководителем получателя гранта или иным уполномоченным лицом и главным бухгалтером (при наличии) с указанием даты подписания отчетов, представляются по форме, определенной типовой формой соглашения о предоставлении гранта, установленной Министерством финансов Российской Федерации, в системе "Электронный бюджет", а также на бумажном носителе с приложением электронных копий документов по требованию Министерства науки и высшего образования Российской Федерации.</w:t>
      </w:r>
    </w:p>
    <w:p>
      <w:pPr>
        <w:pStyle w:val="0"/>
        <w:jc w:val="both"/>
      </w:pPr>
      <w:r>
        <w:rPr>
          <w:sz w:val="20"/>
        </w:rPr>
        <w:t xml:space="preserve">(п. 43(1) введен </w:t>
      </w:r>
      <w:hyperlink w:history="0" r:id="rId82" w:tooltip="Постановление Правительства РФ от 09.04.2022 N 634 &quot;О внесении изменений в некоторые акты Правительства Российской Федерации&quot; {КонсультантПлюс}">
        <w:r>
          <w:rPr>
            <w:sz w:val="20"/>
            <w:color w:val="0000ff"/>
          </w:rPr>
          <w:t xml:space="preserve">Постановлением</w:t>
        </w:r>
      </w:hyperlink>
      <w:r>
        <w:rPr>
          <w:sz w:val="20"/>
        </w:rPr>
        <w:t xml:space="preserve"> Правительства РФ от 09.04.2022 N 634)</w:t>
      </w:r>
    </w:p>
    <w:p>
      <w:pPr>
        <w:pStyle w:val="0"/>
        <w:spacing w:before="200" w:line-rule="auto"/>
        <w:ind w:firstLine="540"/>
        <w:jc w:val="both"/>
      </w:pPr>
      <w:r>
        <w:rPr>
          <w:sz w:val="20"/>
        </w:rPr>
        <w:t xml:space="preserve">44. Министерство науки и высшего образования Российской Федерации вправе устанавливать в соглашении сроки и формы предоставления получателем гранта дополнительной отчетности.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w:t>
      </w:r>
    </w:p>
    <w:p>
      <w:pPr>
        <w:pStyle w:val="0"/>
        <w:jc w:val="right"/>
      </w:pPr>
      <w:r>
        <w:rPr>
          <w:sz w:val="20"/>
        </w:rPr>
        <w:t xml:space="preserve">к Правилам предоставления грантов</w:t>
      </w:r>
    </w:p>
    <w:p>
      <w:pPr>
        <w:pStyle w:val="0"/>
        <w:jc w:val="right"/>
      </w:pPr>
      <w:r>
        <w:rPr>
          <w:sz w:val="20"/>
        </w:rPr>
        <w:t xml:space="preserve">в форме субсидий из федерального бюджета</w:t>
      </w:r>
    </w:p>
    <w:p>
      <w:pPr>
        <w:pStyle w:val="0"/>
        <w:jc w:val="right"/>
      </w:pPr>
      <w:r>
        <w:rPr>
          <w:sz w:val="20"/>
        </w:rPr>
        <w:t xml:space="preserve">на оказание государственной поддержки</w:t>
      </w:r>
    </w:p>
    <w:p>
      <w:pPr>
        <w:pStyle w:val="0"/>
        <w:jc w:val="right"/>
      </w:pPr>
      <w:r>
        <w:rPr>
          <w:sz w:val="20"/>
        </w:rPr>
        <w:t xml:space="preserve">научно-образовательных центров мирового</w:t>
      </w:r>
    </w:p>
    <w:p>
      <w:pPr>
        <w:pStyle w:val="0"/>
        <w:jc w:val="right"/>
      </w:pPr>
      <w:r>
        <w:rPr>
          <w:sz w:val="20"/>
        </w:rPr>
        <w:t xml:space="preserve">уровня на основе интеграции</w:t>
      </w:r>
    </w:p>
    <w:p>
      <w:pPr>
        <w:pStyle w:val="0"/>
        <w:jc w:val="right"/>
      </w:pPr>
      <w:r>
        <w:rPr>
          <w:sz w:val="20"/>
        </w:rPr>
        <w:t xml:space="preserve">образовательных организаций высшего</w:t>
      </w:r>
    </w:p>
    <w:p>
      <w:pPr>
        <w:pStyle w:val="0"/>
        <w:jc w:val="right"/>
      </w:pPr>
      <w:r>
        <w:rPr>
          <w:sz w:val="20"/>
        </w:rPr>
        <w:t xml:space="preserve">образования и научных организаций</w:t>
      </w:r>
    </w:p>
    <w:p>
      <w:pPr>
        <w:pStyle w:val="0"/>
        <w:jc w:val="right"/>
      </w:pPr>
      <w:r>
        <w:rPr>
          <w:sz w:val="20"/>
        </w:rPr>
        <w:t xml:space="preserve">и их кооперации с организациями,</w:t>
      </w:r>
    </w:p>
    <w:p>
      <w:pPr>
        <w:pStyle w:val="0"/>
        <w:jc w:val="right"/>
      </w:pPr>
      <w:r>
        <w:rPr>
          <w:sz w:val="20"/>
        </w:rPr>
        <w:t xml:space="preserve">действующими в реальном</w:t>
      </w:r>
    </w:p>
    <w:p>
      <w:pPr>
        <w:pStyle w:val="0"/>
        <w:jc w:val="right"/>
      </w:pPr>
      <w:r>
        <w:rPr>
          <w:sz w:val="20"/>
        </w:rPr>
        <w:t xml:space="preserve">секторе экономики</w:t>
      </w:r>
    </w:p>
    <w:p>
      <w:pPr>
        <w:pStyle w:val="0"/>
        <w:jc w:val="both"/>
      </w:pPr>
      <w:r>
        <w:rPr>
          <w:sz w:val="20"/>
        </w:rPr>
      </w:r>
    </w:p>
    <w:bookmarkStart w:id="375" w:name="P375"/>
    <w:bookmarkEnd w:id="375"/>
    <w:p>
      <w:pPr>
        <w:pStyle w:val="2"/>
        <w:jc w:val="center"/>
      </w:pPr>
      <w:r>
        <w:rPr>
          <w:sz w:val="20"/>
        </w:rPr>
        <w:t xml:space="preserve">ПЕРЕЧЕНЬ</w:t>
      </w:r>
    </w:p>
    <w:p>
      <w:pPr>
        <w:pStyle w:val="2"/>
        <w:jc w:val="center"/>
      </w:pPr>
      <w:r>
        <w:rPr>
          <w:sz w:val="20"/>
        </w:rPr>
        <w:t xml:space="preserve">КРИТЕРИЕВ ЭКСПЕРТИЗЫ ЗАЯВКИ НА УЧАСТИЕ В КОНКУРСЕ</w:t>
      </w:r>
    </w:p>
    <w:p>
      <w:pPr>
        <w:pStyle w:val="2"/>
        <w:jc w:val="center"/>
      </w:pPr>
      <w:r>
        <w:rPr>
          <w:sz w:val="20"/>
        </w:rPr>
        <w:t xml:space="preserve">В ЦЕЛЯХ ПОСЛЕДУЮЩЕГО ОКАЗАНИЯ ГОСУДАРСТВЕННОЙ ПОДДЕРЖКИ</w:t>
      </w:r>
    </w:p>
    <w:p>
      <w:pPr>
        <w:pStyle w:val="2"/>
        <w:jc w:val="center"/>
      </w:pPr>
      <w:r>
        <w:rPr>
          <w:sz w:val="20"/>
        </w:rPr>
        <w:t xml:space="preserve">НАУЧНО-ОБРАЗОВАТЕЛЬНЫХ ЦЕНТРОВ МИРОВОГО УРОВНЯ НА ОСНОВЕ</w:t>
      </w:r>
    </w:p>
    <w:p>
      <w:pPr>
        <w:pStyle w:val="2"/>
        <w:jc w:val="center"/>
      </w:pPr>
      <w:r>
        <w:rPr>
          <w:sz w:val="20"/>
        </w:rPr>
        <w:t xml:space="preserve">ИНТЕГРАЦИИ ОБРАЗОВАТЕЛЬНЫХ ОРГАНИЗАЦИЙ ВЫСШЕГО ОБРАЗОВАНИЯ</w:t>
      </w:r>
    </w:p>
    <w:p>
      <w:pPr>
        <w:pStyle w:val="2"/>
        <w:jc w:val="center"/>
      </w:pPr>
      <w:r>
        <w:rPr>
          <w:sz w:val="20"/>
        </w:rPr>
        <w:t xml:space="preserve">И НАУЧНЫХ ОРГАНИЗАЦИЙ И ИХ КООПЕРАЦИИ С ОРГАНИЗАЦИЯМИ,</w:t>
      </w:r>
    </w:p>
    <w:p>
      <w:pPr>
        <w:pStyle w:val="2"/>
        <w:jc w:val="center"/>
      </w:pPr>
      <w:r>
        <w:rPr>
          <w:sz w:val="20"/>
        </w:rPr>
        <w:t xml:space="preserve">ДЕЙСТВУЮЩИМИ В РЕАЛЬНОМ СЕКТОРЕ ЭКОНОМИКИ</w:t>
      </w:r>
    </w:p>
    <w:p>
      <w:pPr>
        <w:pStyle w:val="0"/>
        <w:jc w:val="both"/>
      </w:pPr>
      <w:r>
        <w:rPr>
          <w:sz w:val="20"/>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bottom w:val="single" w:sz="4"/>
        </w:tblBorders>
        <w:tblCellMar>
          <w:top w:w="102" w:type="dxa"/>
          <w:left w:w="62" w:type="dxa"/>
          <w:bottom w:w="102" w:type="dxa"/>
          <w:right w:w="62" w:type="dxa"/>
        </w:tblCellMar>
      </w:tblPr>
      <w:tblGrid>
        <w:gridCol w:w="567"/>
        <w:gridCol w:w="2891"/>
        <w:gridCol w:w="1304"/>
        <w:gridCol w:w="1587"/>
        <w:gridCol w:w="6123"/>
      </w:tblGrid>
      <w:tr>
        <w:tblPrEx>
          <w:tblBorders>
            <w:insideV w:val="single" w:sz="4"/>
            <w:insideH w:val="single" w:sz="4"/>
          </w:tblBorders>
        </w:tblPrEx>
        <w:tc>
          <w:tcPr>
            <w:tcW w:w="567" w:type="dxa"/>
            <w:tcBorders>
              <w:top w:val="single" w:sz="4"/>
              <w:left w:val="nil"/>
              <w:bottom w:val="single" w:sz="4"/>
              <w:right w:val="nil"/>
            </w:tcBorders>
          </w:tcPr>
          <w:p>
            <w:pPr>
              <w:pStyle w:val="0"/>
            </w:pPr>
            <w:r>
              <w:rPr>
                <w:sz w:val="20"/>
              </w:rPr>
            </w:r>
          </w:p>
        </w:tc>
        <w:tc>
          <w:tcPr>
            <w:tcW w:w="2891" w:type="dxa"/>
            <w:tcBorders>
              <w:top w:val="single" w:sz="4"/>
              <w:left w:val="nil"/>
              <w:bottom w:val="single" w:sz="4"/>
            </w:tcBorders>
          </w:tcPr>
          <w:p>
            <w:pPr>
              <w:pStyle w:val="0"/>
              <w:jc w:val="center"/>
            </w:pPr>
            <w:r>
              <w:rPr>
                <w:sz w:val="20"/>
              </w:rPr>
              <w:t xml:space="preserve">Показатель критерия</w:t>
            </w:r>
          </w:p>
        </w:tc>
        <w:tc>
          <w:tcPr>
            <w:tcW w:w="1304" w:type="dxa"/>
            <w:tcBorders>
              <w:top w:val="single" w:sz="4"/>
              <w:bottom w:val="single" w:sz="4"/>
            </w:tcBorders>
          </w:tcPr>
          <w:p>
            <w:pPr>
              <w:pStyle w:val="0"/>
              <w:jc w:val="center"/>
            </w:pPr>
            <w:r>
              <w:rPr>
                <w:sz w:val="20"/>
              </w:rPr>
              <w:t xml:space="preserve">Единица измерения</w:t>
            </w:r>
          </w:p>
        </w:tc>
        <w:tc>
          <w:tcPr>
            <w:tcW w:w="1587" w:type="dxa"/>
            <w:tcBorders>
              <w:top w:val="single" w:sz="4"/>
              <w:bottom w:val="single" w:sz="4"/>
            </w:tcBorders>
          </w:tcPr>
          <w:p>
            <w:pPr>
              <w:pStyle w:val="0"/>
              <w:jc w:val="center"/>
            </w:pPr>
            <w:r>
              <w:rPr>
                <w:sz w:val="20"/>
              </w:rPr>
              <w:t xml:space="preserve">Тип расчета</w:t>
            </w:r>
          </w:p>
        </w:tc>
        <w:tc>
          <w:tcPr>
            <w:tcW w:w="6123" w:type="dxa"/>
            <w:tcBorders>
              <w:top w:val="single" w:sz="4"/>
              <w:bottom w:val="single" w:sz="4"/>
              <w:right w:val="nil"/>
            </w:tcBorders>
          </w:tcPr>
          <w:p>
            <w:pPr>
              <w:pStyle w:val="0"/>
              <w:jc w:val="center"/>
            </w:pPr>
            <w:r>
              <w:rPr>
                <w:sz w:val="20"/>
              </w:rPr>
              <w:t xml:space="preserve">Механизм расчета значения показателя критерия</w:t>
            </w:r>
          </w:p>
        </w:tc>
      </w:tr>
      <w:tr>
        <w:tc>
          <w:tcPr>
            <w:gridSpan w:val="5"/>
            <w:tcW w:w="12472" w:type="dxa"/>
            <w:tcBorders>
              <w:top w:val="single" w:sz="4"/>
              <w:left w:val="nil"/>
              <w:bottom w:val="nil"/>
              <w:right w:val="nil"/>
            </w:tcBorders>
          </w:tcPr>
          <w:p>
            <w:pPr>
              <w:pStyle w:val="0"/>
              <w:outlineLvl w:val="2"/>
              <w:jc w:val="center"/>
            </w:pPr>
            <w:r>
              <w:rPr>
                <w:sz w:val="20"/>
              </w:rPr>
              <w:t xml:space="preserve">I. Критерии, характеризующие научно-исследовательский, экономический (инновационный), кадровый и инфраструктурный потенциал научно-образовательного центра мирового уровня</w:t>
            </w:r>
          </w:p>
        </w:tc>
      </w:tr>
      <w:tr>
        <w:tc>
          <w:tcPr>
            <w:tcW w:w="567" w:type="dxa"/>
            <w:tcBorders>
              <w:top w:val="nil"/>
              <w:left w:val="nil"/>
              <w:bottom w:val="nil"/>
              <w:right w:val="nil"/>
            </w:tcBorders>
          </w:tcPr>
          <w:p>
            <w:pPr>
              <w:pStyle w:val="0"/>
              <w:jc w:val="center"/>
            </w:pPr>
            <w:r>
              <w:rPr>
                <w:sz w:val="20"/>
              </w:rPr>
              <w:t xml:space="preserve">1.</w:t>
            </w:r>
          </w:p>
        </w:tc>
        <w:tc>
          <w:tcPr>
            <w:tcW w:w="2891" w:type="dxa"/>
            <w:tcBorders>
              <w:top w:val="nil"/>
              <w:left w:val="nil"/>
              <w:bottom w:val="nil"/>
              <w:right w:val="nil"/>
            </w:tcBorders>
          </w:tcPr>
          <w:p>
            <w:pPr>
              <w:pStyle w:val="0"/>
            </w:pPr>
            <w:r>
              <w:rPr>
                <w:sz w:val="20"/>
              </w:rPr>
              <w:t xml:space="preserve">Количество патентов на изобретения по областям, определяемым приоритетами научно-технологического развития Российской Федерации, зарегистрированных в Российской Федерации и (или) имеющих правовую охрану за рубежом</w:t>
            </w:r>
          </w:p>
        </w:tc>
        <w:tc>
          <w:tcPr>
            <w:tcW w:w="1304" w:type="dxa"/>
            <w:tcBorders>
              <w:top w:val="nil"/>
              <w:left w:val="nil"/>
              <w:bottom w:val="nil"/>
              <w:right w:val="nil"/>
            </w:tcBorders>
          </w:tcPr>
          <w:p>
            <w:pPr>
              <w:pStyle w:val="0"/>
            </w:pPr>
            <w:r>
              <w:rPr>
                <w:sz w:val="20"/>
              </w:rPr>
              <w:t xml:space="preserve">единиц</w:t>
            </w:r>
          </w:p>
        </w:tc>
        <w:tc>
          <w:tcPr>
            <w:tcW w:w="1587" w:type="dxa"/>
            <w:tcBorders>
              <w:top w:val="nil"/>
              <w:left w:val="nil"/>
              <w:bottom w:val="nil"/>
              <w:right w:val="nil"/>
            </w:tcBorders>
          </w:tcPr>
          <w:p>
            <w:pPr>
              <w:pStyle w:val="0"/>
            </w:pPr>
            <w:r>
              <w:rPr>
                <w:sz w:val="20"/>
              </w:rPr>
              <w:t xml:space="preserve">по направлениям деятельности центра</w:t>
            </w:r>
          </w:p>
        </w:tc>
        <w:tc>
          <w:tcPr>
            <w:tcW w:w="6123" w:type="dxa"/>
            <w:tcBorders>
              <w:top w:val="nil"/>
              <w:left w:val="nil"/>
              <w:bottom w:val="nil"/>
              <w:right w:val="nil"/>
            </w:tcBorders>
          </w:tcPr>
          <w:p>
            <w:pPr>
              <w:pStyle w:val="0"/>
            </w:pPr>
            <w:r>
              <w:rPr>
                <w:sz w:val="20"/>
              </w:rPr>
              <w:t xml:space="preserve">5 баллов присваивается научно-образовательным центрам мирового уровня (далее - центр) </w:t>
            </w:r>
            <w:hyperlink w:history="0" w:anchor="P543" w:tooltip="&lt;1&gt; Для определения квартиля центра, участвующего в конкурсе в целях последующего оказания государственной поддержки научно-образовательных центров мирового уровня на основе интеграции федеральных образовательных организаций высшего образования и научных организаций и их кооперации с организациями, действующими в реальном секторе экономики (далее - конкурс), проводится вычисление среднеарифметического значения каждого показателя критерия за 3 года, предшествующие подаче заявки, для каждого центра, участв...">
              <w:r>
                <w:rPr>
                  <w:sz w:val="20"/>
                  <w:color w:val="0000ff"/>
                </w:rPr>
                <w:t xml:space="preserve">&lt;1&gt;</w:t>
              </w:r>
            </w:hyperlink>
            <w:r>
              <w:rPr>
                <w:sz w:val="20"/>
              </w:rPr>
              <w:t xml:space="preserve">, вошедшим в первый квартиль Q1 по результатам ранжирования среднеарифметических значений каждого показателя критерия за 3 года;</w:t>
            </w:r>
          </w:p>
          <w:p>
            <w:pPr>
              <w:pStyle w:val="0"/>
            </w:pPr>
            <w:r>
              <w:rPr>
                <w:sz w:val="20"/>
              </w:rPr>
              <w:t xml:space="preserve">3,75 балла присваивается центрам, вошедшим во второй квартиль Q2 по результатам ранжирования среднеарифметических значений каждого показателя критерия за 3 года;</w:t>
            </w:r>
          </w:p>
          <w:p>
            <w:pPr>
              <w:pStyle w:val="0"/>
            </w:pPr>
            <w:r>
              <w:rPr>
                <w:sz w:val="20"/>
              </w:rPr>
              <w:t xml:space="preserve">2,5 балла присваивается центрам, вошедшим в третий квартиль Q3 по результатам ранжирования среднеарифметических значений каждого показателя критерия за 3 года;</w:t>
            </w:r>
          </w:p>
          <w:p>
            <w:pPr>
              <w:pStyle w:val="0"/>
            </w:pPr>
            <w:r>
              <w:rPr>
                <w:sz w:val="20"/>
              </w:rPr>
              <w:t xml:space="preserve">1,25 балла присваивается центрам, вошедшим в четвертый квартиль Q4 по результатам ранжирования среднеарифметических значений каждого показателя критерия за 3 года</w:t>
            </w:r>
          </w:p>
        </w:tc>
      </w:tr>
      <w:tr>
        <w:tc>
          <w:tcPr>
            <w:gridSpan w:val="5"/>
            <w:tcW w:w="12472"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31.12.2023 не применяются целевые значения показателей, связанных с публикационной активностью в изданиях, журналах, индексируемых в международных базах данных (Web of Science, Scopus) (</w:t>
                  </w:r>
                  <w:hyperlink w:history="0" r:id="rId85" w:tooltip="Постановление Правительства РФ от 19.03.2022 N 414 (ред. от 19.09.2022) &quot;О некоторых вопросах применения требований и целевых значений показателей, связанных с публикационной активностью&quot; ------------ Редакция с изменениями, не вступившими в силу {КонсультантПлюс}">
                    <w:r>
                      <w:rPr>
                        <w:sz w:val="20"/>
                        <w:color w:val="0000ff"/>
                      </w:rPr>
                      <w:t xml:space="preserve">Постановление</w:t>
                    </w:r>
                  </w:hyperlink>
                  <w:r>
                    <w:rPr>
                      <w:sz w:val="20"/>
                      <w:color w:val="392c69"/>
                    </w:rPr>
                    <w:t xml:space="preserve"> Правительства РФ от 19.03.2022 N 414).</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567" w:type="dxa"/>
            <w:tcBorders>
              <w:top w:val="nil"/>
              <w:left w:val="nil"/>
              <w:bottom w:val="nil"/>
              <w:right w:val="nil"/>
            </w:tcBorders>
          </w:tcPr>
          <w:p>
            <w:pPr>
              <w:pStyle w:val="0"/>
              <w:jc w:val="center"/>
            </w:pPr>
            <w:r>
              <w:rPr>
                <w:sz w:val="20"/>
              </w:rPr>
              <w:t xml:space="preserve">2.</w:t>
            </w:r>
          </w:p>
        </w:tc>
        <w:tc>
          <w:tcPr>
            <w:tcW w:w="2891" w:type="dxa"/>
            <w:tcBorders>
              <w:top w:val="nil"/>
              <w:left w:val="nil"/>
              <w:bottom w:val="nil"/>
              <w:right w:val="nil"/>
            </w:tcBorders>
          </w:tcPr>
          <w:p>
            <w:pPr>
              <w:pStyle w:val="0"/>
            </w:pPr>
            <w:r>
              <w:rPr>
                <w:sz w:val="20"/>
              </w:rPr>
              <w:t xml:space="preserve">Количество статей в областях, определяемых приоритетами научно-технологического развития Российской Федерации, в научных изданиях, индексируемых в международных базах данных "Web of Science" и (или) "Scopus" (для федеральных государственных образовательных организаций высшего образования и научных организаций)</w:t>
            </w:r>
          </w:p>
        </w:tc>
        <w:tc>
          <w:tcPr>
            <w:tcW w:w="1304" w:type="dxa"/>
            <w:tcBorders>
              <w:top w:val="nil"/>
              <w:left w:val="nil"/>
              <w:bottom w:val="nil"/>
              <w:right w:val="nil"/>
            </w:tcBorders>
          </w:tcPr>
          <w:p>
            <w:pPr>
              <w:pStyle w:val="0"/>
            </w:pPr>
            <w:r>
              <w:rPr>
                <w:sz w:val="20"/>
              </w:rPr>
              <w:t xml:space="preserve">единиц</w:t>
            </w:r>
          </w:p>
        </w:tc>
        <w:tc>
          <w:tcPr>
            <w:tcW w:w="1587" w:type="dxa"/>
            <w:tcBorders>
              <w:top w:val="nil"/>
              <w:left w:val="nil"/>
              <w:bottom w:val="nil"/>
              <w:right w:val="nil"/>
            </w:tcBorders>
          </w:tcPr>
          <w:p>
            <w:pPr>
              <w:pStyle w:val="0"/>
            </w:pPr>
            <w:r>
              <w:rPr>
                <w:sz w:val="20"/>
              </w:rPr>
              <w:t xml:space="preserve">по направлениям деятельности центра</w:t>
            </w:r>
          </w:p>
        </w:tc>
        <w:tc>
          <w:tcPr>
            <w:tcW w:w="6123" w:type="dxa"/>
            <w:tcBorders>
              <w:top w:val="nil"/>
              <w:left w:val="nil"/>
              <w:bottom w:val="nil"/>
              <w:right w:val="nil"/>
            </w:tcBorders>
          </w:tcPr>
          <w:p>
            <w:pPr>
              <w:pStyle w:val="0"/>
            </w:pPr>
            <w:r>
              <w:rPr>
                <w:sz w:val="20"/>
              </w:rPr>
              <w:t xml:space="preserve">5 баллов присваивается центрам, вошедшим в первый квартиль Q1 по результатам ранжирования среднеарифметических значений каждого показателя критерия за 3 года;</w:t>
            </w:r>
          </w:p>
          <w:p>
            <w:pPr>
              <w:pStyle w:val="0"/>
            </w:pPr>
            <w:r>
              <w:rPr>
                <w:sz w:val="20"/>
              </w:rPr>
              <w:t xml:space="preserve">3,75 балла присваивается центрам, вошедшим во второй квартиль Q2 по результатам ранжирования среднеарифметических значений каждого показателя критерия за 3 года;</w:t>
            </w:r>
          </w:p>
          <w:p>
            <w:pPr>
              <w:pStyle w:val="0"/>
            </w:pPr>
            <w:r>
              <w:rPr>
                <w:sz w:val="20"/>
              </w:rPr>
              <w:t xml:space="preserve">2,5 балла присваивается центрам, вошедшим в третий квартиль Q3 по результатам ранжирования среднеарифметических значений каждого показателя критерия за 3 года;</w:t>
            </w:r>
          </w:p>
          <w:p>
            <w:pPr>
              <w:pStyle w:val="0"/>
            </w:pPr>
            <w:r>
              <w:rPr>
                <w:sz w:val="20"/>
              </w:rPr>
              <w:t xml:space="preserve">1,25 балла присваивается центрам, вошедшим в четвертый квартиль Q4 по результатам ранжирования среднеарифметических значений каждого показателя критерия за 3 года</w:t>
            </w:r>
          </w:p>
        </w:tc>
      </w:tr>
      <w:tr>
        <w:tc>
          <w:tcPr>
            <w:tcW w:w="567" w:type="dxa"/>
            <w:tcBorders>
              <w:top w:val="nil"/>
              <w:left w:val="nil"/>
              <w:bottom w:val="nil"/>
              <w:right w:val="nil"/>
            </w:tcBorders>
          </w:tcPr>
          <w:p>
            <w:pPr>
              <w:pStyle w:val="0"/>
              <w:jc w:val="center"/>
            </w:pPr>
            <w:r>
              <w:rPr>
                <w:sz w:val="20"/>
              </w:rPr>
              <w:t xml:space="preserve">3.</w:t>
            </w:r>
          </w:p>
        </w:tc>
        <w:tc>
          <w:tcPr>
            <w:tcW w:w="2891" w:type="dxa"/>
            <w:tcBorders>
              <w:top w:val="nil"/>
              <w:left w:val="nil"/>
              <w:bottom w:val="nil"/>
              <w:right w:val="nil"/>
            </w:tcBorders>
          </w:tcPr>
          <w:p>
            <w:pPr>
              <w:pStyle w:val="0"/>
            </w:pPr>
            <w:r>
              <w:rPr>
                <w:sz w:val="20"/>
              </w:rPr>
              <w:t xml:space="preserve">Объем выполненных работ и услуг, завершившихся изготовлением, предварительными и приемочными испытаниями опытного образца (опытной партии)</w:t>
            </w:r>
          </w:p>
        </w:tc>
        <w:tc>
          <w:tcPr>
            <w:tcW w:w="1304" w:type="dxa"/>
            <w:tcBorders>
              <w:top w:val="nil"/>
              <w:left w:val="nil"/>
              <w:bottom w:val="nil"/>
              <w:right w:val="nil"/>
            </w:tcBorders>
          </w:tcPr>
          <w:p>
            <w:pPr>
              <w:pStyle w:val="0"/>
            </w:pPr>
            <w:r>
              <w:rPr>
                <w:sz w:val="20"/>
              </w:rPr>
              <w:t xml:space="preserve">рублей</w:t>
            </w:r>
          </w:p>
        </w:tc>
        <w:tc>
          <w:tcPr>
            <w:tcW w:w="1587" w:type="dxa"/>
            <w:tcBorders>
              <w:top w:val="nil"/>
              <w:left w:val="nil"/>
              <w:bottom w:val="nil"/>
              <w:right w:val="nil"/>
            </w:tcBorders>
          </w:tcPr>
          <w:p>
            <w:pPr>
              <w:pStyle w:val="0"/>
            </w:pPr>
            <w:r>
              <w:rPr>
                <w:sz w:val="20"/>
              </w:rPr>
              <w:t xml:space="preserve">по направлениям деятельности центра</w:t>
            </w:r>
          </w:p>
        </w:tc>
        <w:tc>
          <w:tcPr>
            <w:tcW w:w="6123" w:type="dxa"/>
            <w:tcBorders>
              <w:top w:val="nil"/>
              <w:left w:val="nil"/>
              <w:bottom w:val="nil"/>
              <w:right w:val="nil"/>
            </w:tcBorders>
          </w:tcPr>
          <w:p>
            <w:pPr>
              <w:pStyle w:val="0"/>
            </w:pPr>
            <w:r>
              <w:rPr>
                <w:sz w:val="20"/>
              </w:rPr>
              <w:t xml:space="preserve">5 баллов присваивается центрам, вошедшим в первый квартиль Q1 по результатам ранжирования среднеарифметических значений каждого показателя критерия за 3 года;</w:t>
            </w:r>
          </w:p>
          <w:p>
            <w:pPr>
              <w:pStyle w:val="0"/>
            </w:pPr>
            <w:r>
              <w:rPr>
                <w:sz w:val="20"/>
              </w:rPr>
              <w:t xml:space="preserve">3,75 балла присваивается центрам, вошедшим во второй квартиль Q2 по результатам ранжирования среднеарифметических значений каждого показателя критерия за 3 года;</w:t>
            </w:r>
          </w:p>
          <w:p>
            <w:pPr>
              <w:pStyle w:val="0"/>
            </w:pPr>
            <w:r>
              <w:rPr>
                <w:sz w:val="20"/>
              </w:rPr>
              <w:t xml:space="preserve">2,5 балла присваивается центрам, вошедшим в третий квартиль Q3 по результатам ранжирования среднеарифметических значений каждого показателя критерия за 3 года;</w:t>
            </w:r>
          </w:p>
          <w:p>
            <w:pPr>
              <w:pStyle w:val="0"/>
            </w:pPr>
            <w:r>
              <w:rPr>
                <w:sz w:val="20"/>
              </w:rPr>
              <w:t xml:space="preserve">1,25 балла присваивается центрам, вошедшим в четвертый квартиль Q4 по результатам ранжирования среднеарифметических значений каждого показателя критерия за 3 года</w:t>
            </w:r>
          </w:p>
        </w:tc>
      </w:tr>
      <w:tr>
        <w:tc>
          <w:tcPr>
            <w:tcW w:w="567" w:type="dxa"/>
            <w:tcBorders>
              <w:top w:val="nil"/>
              <w:left w:val="nil"/>
              <w:bottom w:val="nil"/>
              <w:right w:val="nil"/>
            </w:tcBorders>
          </w:tcPr>
          <w:p>
            <w:pPr>
              <w:pStyle w:val="0"/>
              <w:jc w:val="center"/>
            </w:pPr>
            <w:r>
              <w:rPr>
                <w:sz w:val="20"/>
              </w:rPr>
              <w:t xml:space="preserve">4.</w:t>
            </w:r>
          </w:p>
        </w:tc>
        <w:tc>
          <w:tcPr>
            <w:tcW w:w="2891" w:type="dxa"/>
            <w:tcBorders>
              <w:top w:val="nil"/>
              <w:left w:val="nil"/>
              <w:bottom w:val="nil"/>
              <w:right w:val="nil"/>
            </w:tcBorders>
          </w:tcPr>
          <w:p>
            <w:pPr>
              <w:pStyle w:val="0"/>
            </w:pPr>
            <w:r>
              <w:rPr>
                <w:sz w:val="20"/>
              </w:rPr>
              <w:t xml:space="preserve">Количество разработанных и переданных для внедрения в производство в организациях, действующих в реальном секторе экономики, конкурентоспособных технологий и высокотехнологичной продукции</w:t>
            </w:r>
          </w:p>
        </w:tc>
        <w:tc>
          <w:tcPr>
            <w:tcW w:w="1304" w:type="dxa"/>
            <w:tcBorders>
              <w:top w:val="nil"/>
              <w:left w:val="nil"/>
              <w:bottom w:val="nil"/>
              <w:right w:val="nil"/>
            </w:tcBorders>
          </w:tcPr>
          <w:p>
            <w:pPr>
              <w:pStyle w:val="0"/>
            </w:pPr>
            <w:r>
              <w:rPr>
                <w:sz w:val="20"/>
              </w:rPr>
              <w:t xml:space="preserve">единиц</w:t>
            </w:r>
          </w:p>
        </w:tc>
        <w:tc>
          <w:tcPr>
            <w:tcW w:w="1587" w:type="dxa"/>
            <w:tcBorders>
              <w:top w:val="nil"/>
              <w:left w:val="nil"/>
              <w:bottom w:val="nil"/>
              <w:right w:val="nil"/>
            </w:tcBorders>
          </w:tcPr>
          <w:p>
            <w:pPr>
              <w:pStyle w:val="0"/>
            </w:pPr>
            <w:r>
              <w:rPr>
                <w:sz w:val="20"/>
              </w:rPr>
              <w:t xml:space="preserve">по направлениям деятельности центра</w:t>
            </w:r>
          </w:p>
        </w:tc>
        <w:tc>
          <w:tcPr>
            <w:tcW w:w="6123" w:type="dxa"/>
            <w:tcBorders>
              <w:top w:val="nil"/>
              <w:left w:val="nil"/>
              <w:bottom w:val="nil"/>
              <w:right w:val="nil"/>
            </w:tcBorders>
          </w:tcPr>
          <w:p>
            <w:pPr>
              <w:pStyle w:val="0"/>
            </w:pPr>
            <w:r>
              <w:rPr>
                <w:sz w:val="20"/>
              </w:rPr>
              <w:t xml:space="preserve">5 баллов присваивается центрам, вошедшим в первый квартиль Q1 по результатам ранжирования среднеарифметических значений каждого показателя критерия за 3 года;</w:t>
            </w:r>
          </w:p>
          <w:p>
            <w:pPr>
              <w:pStyle w:val="0"/>
            </w:pPr>
            <w:r>
              <w:rPr>
                <w:sz w:val="20"/>
              </w:rPr>
              <w:t xml:space="preserve">3,75 балла присваивается центрам, вошедшим во второй квартиль Q2 по результатам ранжирования среднеарифметических значений каждого показателя критерия за 3 года;</w:t>
            </w:r>
          </w:p>
          <w:p>
            <w:pPr>
              <w:pStyle w:val="0"/>
            </w:pPr>
            <w:r>
              <w:rPr>
                <w:sz w:val="20"/>
              </w:rPr>
              <w:t xml:space="preserve">2,5 балла присваивается центрам, вошедшим в третий квартиль Q3 по результатам ранжирования среднеарифметических значений каждого показателя критерия за 3 года;</w:t>
            </w:r>
          </w:p>
          <w:p>
            <w:pPr>
              <w:pStyle w:val="0"/>
            </w:pPr>
            <w:r>
              <w:rPr>
                <w:sz w:val="20"/>
              </w:rPr>
              <w:t xml:space="preserve">1,25 балла присваивается центрам, вошедшим в четвертый квартиль Q4 по результатам ранжирования среднеарифметических значений каждого показателя критерия за 3 года</w:t>
            </w:r>
          </w:p>
        </w:tc>
      </w:tr>
      <w:tr>
        <w:tc>
          <w:tcPr>
            <w:tcW w:w="567" w:type="dxa"/>
            <w:tcBorders>
              <w:top w:val="nil"/>
              <w:left w:val="nil"/>
              <w:bottom w:val="nil"/>
              <w:right w:val="nil"/>
            </w:tcBorders>
          </w:tcPr>
          <w:p>
            <w:pPr>
              <w:pStyle w:val="0"/>
              <w:jc w:val="center"/>
            </w:pPr>
            <w:r>
              <w:rPr>
                <w:sz w:val="20"/>
              </w:rPr>
              <w:t xml:space="preserve">5.</w:t>
            </w:r>
          </w:p>
        </w:tc>
        <w:tc>
          <w:tcPr>
            <w:tcW w:w="2891" w:type="dxa"/>
            <w:tcBorders>
              <w:top w:val="nil"/>
              <w:left w:val="nil"/>
              <w:bottom w:val="nil"/>
              <w:right w:val="nil"/>
            </w:tcBorders>
          </w:tcPr>
          <w:p>
            <w:pPr>
              <w:pStyle w:val="0"/>
            </w:pPr>
            <w:r>
              <w:rPr>
                <w:sz w:val="20"/>
              </w:rPr>
              <w:t xml:space="preserve">Доля исследователей в возрасте до 39 лет в общей численности исследователей</w:t>
            </w:r>
          </w:p>
        </w:tc>
        <w:tc>
          <w:tcPr>
            <w:tcW w:w="1304" w:type="dxa"/>
            <w:tcBorders>
              <w:top w:val="nil"/>
              <w:left w:val="nil"/>
              <w:bottom w:val="nil"/>
              <w:right w:val="nil"/>
            </w:tcBorders>
          </w:tcPr>
          <w:p>
            <w:pPr>
              <w:pStyle w:val="0"/>
            </w:pPr>
            <w:r>
              <w:rPr>
                <w:sz w:val="20"/>
              </w:rPr>
              <w:t xml:space="preserve">процентов</w:t>
            </w:r>
          </w:p>
        </w:tc>
        <w:tc>
          <w:tcPr>
            <w:tcW w:w="1587" w:type="dxa"/>
            <w:tcBorders>
              <w:top w:val="nil"/>
              <w:left w:val="nil"/>
              <w:bottom w:val="nil"/>
              <w:right w:val="nil"/>
            </w:tcBorders>
          </w:tcPr>
          <w:p>
            <w:pPr>
              <w:pStyle w:val="0"/>
            </w:pPr>
            <w:r>
              <w:rPr>
                <w:sz w:val="20"/>
              </w:rPr>
              <w:t xml:space="preserve">по центру</w:t>
            </w:r>
          </w:p>
        </w:tc>
        <w:tc>
          <w:tcPr>
            <w:tcW w:w="6123" w:type="dxa"/>
            <w:tcBorders>
              <w:top w:val="nil"/>
              <w:left w:val="nil"/>
              <w:bottom w:val="nil"/>
              <w:right w:val="nil"/>
            </w:tcBorders>
          </w:tcPr>
          <w:p>
            <w:pPr>
              <w:pStyle w:val="0"/>
            </w:pPr>
            <w:r>
              <w:rPr>
                <w:sz w:val="20"/>
              </w:rPr>
              <w:t xml:space="preserve">5 баллов присваивается центрам, вошедшим в первый квартиль Q1 по результатам ранжирования среднеарифметических значений каждого показателя критерия за 3 года;</w:t>
            </w:r>
          </w:p>
          <w:p>
            <w:pPr>
              <w:pStyle w:val="0"/>
            </w:pPr>
            <w:r>
              <w:rPr>
                <w:sz w:val="20"/>
              </w:rPr>
              <w:t xml:space="preserve">3,75 балла присваивается центрам, вошедшим во второй квартиль Q2 по результатам ранжирования среднеарифметических значений каждого показателя критерия за 3 года;</w:t>
            </w:r>
          </w:p>
          <w:p>
            <w:pPr>
              <w:pStyle w:val="0"/>
            </w:pPr>
            <w:r>
              <w:rPr>
                <w:sz w:val="20"/>
              </w:rPr>
              <w:t xml:space="preserve">2,5 балла присваивается центрам, вошедшим в третий квартиль Q3 по результатам ранжирования среднеарифметических значений каждого показателя критерия за 3 года;</w:t>
            </w:r>
          </w:p>
          <w:p>
            <w:pPr>
              <w:pStyle w:val="0"/>
            </w:pPr>
            <w:r>
              <w:rPr>
                <w:sz w:val="20"/>
              </w:rPr>
              <w:t xml:space="preserve">1,25 балла присваивается центрам, вошедшим в четвертый квартиль Q4 по результатам ранжирования среднеарифметических значений каждого показателя критерия за 3 года</w:t>
            </w:r>
          </w:p>
        </w:tc>
      </w:tr>
      <w:tr>
        <w:tc>
          <w:tcPr>
            <w:tcW w:w="567" w:type="dxa"/>
            <w:tcBorders>
              <w:top w:val="nil"/>
              <w:left w:val="nil"/>
              <w:bottom w:val="nil"/>
              <w:right w:val="nil"/>
            </w:tcBorders>
          </w:tcPr>
          <w:p>
            <w:pPr>
              <w:pStyle w:val="0"/>
              <w:jc w:val="center"/>
            </w:pPr>
            <w:r>
              <w:rPr>
                <w:sz w:val="20"/>
              </w:rPr>
              <w:t xml:space="preserve">6.</w:t>
            </w:r>
          </w:p>
        </w:tc>
        <w:tc>
          <w:tcPr>
            <w:tcW w:w="2891" w:type="dxa"/>
            <w:tcBorders>
              <w:top w:val="nil"/>
              <w:left w:val="nil"/>
              <w:bottom w:val="nil"/>
              <w:right w:val="nil"/>
            </w:tcBorders>
          </w:tcPr>
          <w:p>
            <w:pPr>
              <w:pStyle w:val="0"/>
            </w:pPr>
            <w:r>
              <w:rPr>
                <w:sz w:val="20"/>
              </w:rPr>
              <w:t xml:space="preserve">Доля работников организаций, участвующих в создании центра, прошедших обучение по дополнительным профессиональным программам в соответствии с направлениями деятельности центра</w:t>
            </w:r>
          </w:p>
        </w:tc>
        <w:tc>
          <w:tcPr>
            <w:tcW w:w="1304" w:type="dxa"/>
            <w:tcBorders>
              <w:top w:val="nil"/>
              <w:left w:val="nil"/>
              <w:bottom w:val="nil"/>
              <w:right w:val="nil"/>
            </w:tcBorders>
          </w:tcPr>
          <w:p>
            <w:pPr>
              <w:pStyle w:val="0"/>
            </w:pPr>
            <w:r>
              <w:rPr>
                <w:sz w:val="20"/>
              </w:rPr>
              <w:t xml:space="preserve">процентов</w:t>
            </w:r>
          </w:p>
        </w:tc>
        <w:tc>
          <w:tcPr>
            <w:tcW w:w="1587" w:type="dxa"/>
            <w:tcBorders>
              <w:top w:val="nil"/>
              <w:left w:val="nil"/>
              <w:bottom w:val="nil"/>
              <w:right w:val="nil"/>
            </w:tcBorders>
          </w:tcPr>
          <w:p>
            <w:pPr>
              <w:pStyle w:val="0"/>
            </w:pPr>
            <w:r>
              <w:rPr>
                <w:sz w:val="20"/>
              </w:rPr>
              <w:t xml:space="preserve">по центру</w:t>
            </w:r>
          </w:p>
        </w:tc>
        <w:tc>
          <w:tcPr>
            <w:tcW w:w="6123" w:type="dxa"/>
            <w:tcBorders>
              <w:top w:val="nil"/>
              <w:left w:val="nil"/>
              <w:bottom w:val="nil"/>
              <w:right w:val="nil"/>
            </w:tcBorders>
          </w:tcPr>
          <w:p>
            <w:pPr>
              <w:pStyle w:val="0"/>
            </w:pPr>
            <w:r>
              <w:rPr>
                <w:sz w:val="20"/>
              </w:rPr>
              <w:t xml:space="preserve">5 баллов присваивается центрам, вошедшим в первый квартиль Q1 по результатам ранжирования среднеарифметических значений каждого показателя критерия за 3 года;</w:t>
            </w:r>
          </w:p>
          <w:p>
            <w:pPr>
              <w:pStyle w:val="0"/>
            </w:pPr>
            <w:r>
              <w:rPr>
                <w:sz w:val="20"/>
              </w:rPr>
              <w:t xml:space="preserve">3,75 балла присваивается центрам, вошедшим во второй квартиль Q2 по результатам ранжирования среднеарифметических значений каждого показателя критерия за 3 года;</w:t>
            </w:r>
          </w:p>
          <w:p>
            <w:pPr>
              <w:pStyle w:val="0"/>
            </w:pPr>
            <w:r>
              <w:rPr>
                <w:sz w:val="20"/>
              </w:rPr>
              <w:t xml:space="preserve">2,5 балла присваивается центрам, вошедшим в третий квартиль Q3 по результатам ранжирования среднеарифметических значений каждого показателя критерия за 3 года;</w:t>
            </w:r>
          </w:p>
          <w:p>
            <w:pPr>
              <w:pStyle w:val="0"/>
            </w:pPr>
            <w:r>
              <w:rPr>
                <w:sz w:val="20"/>
              </w:rPr>
              <w:t xml:space="preserve">1,25 балла присваивается центрам, вошедшим в четвертый квартиль Q4 по результатам ранжирования среднеарифметических значений каждого показателя критерия за 3 года</w:t>
            </w:r>
          </w:p>
        </w:tc>
      </w:tr>
      <w:tr>
        <w:tc>
          <w:tcPr>
            <w:tcW w:w="567" w:type="dxa"/>
            <w:tcBorders>
              <w:top w:val="nil"/>
              <w:left w:val="nil"/>
              <w:bottom w:val="nil"/>
              <w:right w:val="nil"/>
            </w:tcBorders>
          </w:tcPr>
          <w:p>
            <w:pPr>
              <w:pStyle w:val="0"/>
              <w:jc w:val="center"/>
            </w:pPr>
            <w:r>
              <w:rPr>
                <w:sz w:val="20"/>
              </w:rPr>
              <w:t xml:space="preserve">7.</w:t>
            </w:r>
          </w:p>
        </w:tc>
        <w:tc>
          <w:tcPr>
            <w:tcW w:w="2891" w:type="dxa"/>
            <w:tcBorders>
              <w:top w:val="nil"/>
              <w:left w:val="nil"/>
              <w:bottom w:val="nil"/>
              <w:right w:val="nil"/>
            </w:tcBorders>
          </w:tcPr>
          <w:p>
            <w:pPr>
              <w:pStyle w:val="0"/>
            </w:pPr>
            <w:r>
              <w:rPr>
                <w:sz w:val="20"/>
              </w:rPr>
              <w:t xml:space="preserve">Количество иногородних обучающихся по образовательным программам высшего образования, прибывших из субъектов Российской Федерации, не участвующих в создании центра,</w:t>
            </w:r>
          </w:p>
          <w:p>
            <w:pPr>
              <w:pStyle w:val="0"/>
            </w:pPr>
            <w:r>
              <w:rPr>
                <w:sz w:val="20"/>
              </w:rPr>
              <w:t xml:space="preserve">а также иностранных обучающихся</w:t>
            </w:r>
          </w:p>
        </w:tc>
        <w:tc>
          <w:tcPr>
            <w:tcW w:w="1304" w:type="dxa"/>
            <w:tcBorders>
              <w:top w:val="nil"/>
              <w:left w:val="nil"/>
              <w:bottom w:val="nil"/>
              <w:right w:val="nil"/>
            </w:tcBorders>
          </w:tcPr>
          <w:p>
            <w:pPr>
              <w:pStyle w:val="0"/>
            </w:pPr>
            <w:r>
              <w:rPr>
                <w:sz w:val="20"/>
              </w:rPr>
              <w:t xml:space="preserve">человек</w:t>
            </w:r>
          </w:p>
        </w:tc>
        <w:tc>
          <w:tcPr>
            <w:tcW w:w="1587" w:type="dxa"/>
            <w:tcBorders>
              <w:top w:val="nil"/>
              <w:left w:val="nil"/>
              <w:bottom w:val="nil"/>
              <w:right w:val="nil"/>
            </w:tcBorders>
          </w:tcPr>
          <w:p>
            <w:pPr>
              <w:pStyle w:val="0"/>
            </w:pPr>
            <w:r>
              <w:rPr>
                <w:sz w:val="20"/>
              </w:rPr>
              <w:t xml:space="preserve">по центру</w:t>
            </w:r>
          </w:p>
        </w:tc>
        <w:tc>
          <w:tcPr>
            <w:tcW w:w="6123" w:type="dxa"/>
            <w:tcBorders>
              <w:top w:val="nil"/>
              <w:left w:val="nil"/>
              <w:bottom w:val="nil"/>
              <w:right w:val="nil"/>
            </w:tcBorders>
          </w:tcPr>
          <w:p>
            <w:pPr>
              <w:pStyle w:val="0"/>
            </w:pPr>
            <w:r>
              <w:rPr>
                <w:sz w:val="20"/>
              </w:rPr>
              <w:t xml:space="preserve">5 баллов присваивается центрам, вошедшим в первый квартиль Q1 по результатам ранжирования среднеарифметических значений каждого показателя критерия за 3 года;</w:t>
            </w:r>
          </w:p>
          <w:p>
            <w:pPr>
              <w:pStyle w:val="0"/>
            </w:pPr>
            <w:r>
              <w:rPr>
                <w:sz w:val="20"/>
              </w:rPr>
              <w:t xml:space="preserve">3,75 балла присваивается центрам, вошедшим во второй квартиль Q2 по результатам ранжирования среднеарифметических значений каждого показателя критерия за 3 года;</w:t>
            </w:r>
          </w:p>
          <w:p>
            <w:pPr>
              <w:pStyle w:val="0"/>
            </w:pPr>
            <w:r>
              <w:rPr>
                <w:sz w:val="20"/>
              </w:rPr>
              <w:t xml:space="preserve">2,5 балла присваивается центрам, вошедшим в третий квартиль Q3 по результатам ранжирования среднеарифметических значений каждого показателя критерия за 3 года;</w:t>
            </w:r>
          </w:p>
          <w:p>
            <w:pPr>
              <w:pStyle w:val="0"/>
            </w:pPr>
            <w:r>
              <w:rPr>
                <w:sz w:val="20"/>
              </w:rPr>
              <w:t xml:space="preserve">1,25 балла присваивается центрам, вошедшим в четвертый квартиль Q4 по результатам ранжирования среднеарифметических значений каждого показателя критерия за 3 года</w:t>
            </w:r>
          </w:p>
        </w:tc>
      </w:tr>
      <w:tr>
        <w:tc>
          <w:tcPr>
            <w:tcW w:w="567" w:type="dxa"/>
            <w:tcBorders>
              <w:top w:val="nil"/>
              <w:left w:val="nil"/>
              <w:bottom w:val="nil"/>
              <w:right w:val="nil"/>
            </w:tcBorders>
          </w:tcPr>
          <w:p>
            <w:pPr>
              <w:pStyle w:val="0"/>
              <w:jc w:val="center"/>
            </w:pPr>
            <w:r>
              <w:rPr>
                <w:sz w:val="20"/>
              </w:rPr>
              <w:t xml:space="preserve">8.</w:t>
            </w:r>
          </w:p>
        </w:tc>
        <w:tc>
          <w:tcPr>
            <w:tcW w:w="2891" w:type="dxa"/>
            <w:tcBorders>
              <w:top w:val="nil"/>
              <w:left w:val="nil"/>
              <w:bottom w:val="nil"/>
              <w:right w:val="nil"/>
            </w:tcBorders>
          </w:tcPr>
          <w:p>
            <w:pPr>
              <w:pStyle w:val="0"/>
            </w:pPr>
            <w:r>
              <w:rPr>
                <w:sz w:val="20"/>
              </w:rPr>
              <w:t xml:space="preserve">Количество лиц, завершивших обучение в центрах развития компетенций руководителей научных, научно-технических проектов и лабораторий в интересах развития региона</w:t>
            </w:r>
          </w:p>
        </w:tc>
        <w:tc>
          <w:tcPr>
            <w:tcW w:w="1304" w:type="dxa"/>
            <w:tcBorders>
              <w:top w:val="nil"/>
              <w:left w:val="nil"/>
              <w:bottom w:val="nil"/>
              <w:right w:val="nil"/>
            </w:tcBorders>
          </w:tcPr>
          <w:p>
            <w:pPr>
              <w:pStyle w:val="0"/>
            </w:pPr>
            <w:r>
              <w:rPr>
                <w:sz w:val="20"/>
              </w:rPr>
              <w:t xml:space="preserve">человек</w:t>
            </w:r>
          </w:p>
        </w:tc>
        <w:tc>
          <w:tcPr>
            <w:tcW w:w="1587" w:type="dxa"/>
            <w:tcBorders>
              <w:top w:val="nil"/>
              <w:left w:val="nil"/>
              <w:bottom w:val="nil"/>
              <w:right w:val="nil"/>
            </w:tcBorders>
          </w:tcPr>
          <w:p>
            <w:pPr>
              <w:pStyle w:val="0"/>
            </w:pPr>
            <w:r>
              <w:rPr>
                <w:sz w:val="20"/>
              </w:rPr>
              <w:t xml:space="preserve">прогнозные значения по центру</w:t>
            </w:r>
          </w:p>
        </w:tc>
        <w:tc>
          <w:tcPr>
            <w:tcW w:w="6123" w:type="dxa"/>
            <w:tcBorders>
              <w:top w:val="nil"/>
              <w:left w:val="nil"/>
              <w:bottom w:val="nil"/>
              <w:right w:val="nil"/>
            </w:tcBorders>
          </w:tcPr>
          <w:p>
            <w:pPr>
              <w:pStyle w:val="0"/>
            </w:pPr>
            <w:r>
              <w:rPr>
                <w:sz w:val="20"/>
              </w:rPr>
              <w:t xml:space="preserve">5 баллов присваивается центрам, вошедшим в первый квартиль Q1 по результатам ранжирования среднеарифметических значений каждого показателя критерия;</w:t>
            </w:r>
          </w:p>
          <w:p>
            <w:pPr>
              <w:pStyle w:val="0"/>
            </w:pPr>
            <w:r>
              <w:rPr>
                <w:sz w:val="20"/>
              </w:rPr>
              <w:t xml:space="preserve">3,75 балла присваивается центрам, вошедшим во второй квартиль Q2 по результатам ранжирования среднеарифметических значений каждого показателя критерия;</w:t>
            </w:r>
          </w:p>
          <w:p>
            <w:pPr>
              <w:pStyle w:val="0"/>
            </w:pPr>
            <w:r>
              <w:rPr>
                <w:sz w:val="20"/>
              </w:rPr>
              <w:t xml:space="preserve">2,5 балла присваивается центрам, вошедшим в третий квартиль Q3 по результатам ранжирования среднеарифметических значений каждого показателя критерия;</w:t>
            </w:r>
          </w:p>
          <w:p>
            <w:pPr>
              <w:pStyle w:val="0"/>
            </w:pPr>
            <w:r>
              <w:rPr>
                <w:sz w:val="20"/>
              </w:rPr>
              <w:t xml:space="preserve">1,25 балла присваивается центрам, вошедшим в четвертый квартиль Q4 по результатам ранжирования среднеарифметических значений каждого показателя критерия</w:t>
            </w:r>
          </w:p>
        </w:tc>
      </w:tr>
      <w:tr>
        <w:tc>
          <w:tcPr>
            <w:tcW w:w="567" w:type="dxa"/>
            <w:tcBorders>
              <w:top w:val="nil"/>
              <w:left w:val="nil"/>
              <w:bottom w:val="nil"/>
              <w:right w:val="nil"/>
            </w:tcBorders>
          </w:tcPr>
          <w:p>
            <w:pPr>
              <w:pStyle w:val="0"/>
              <w:jc w:val="center"/>
            </w:pPr>
            <w:r>
              <w:rPr>
                <w:sz w:val="20"/>
              </w:rPr>
              <w:t xml:space="preserve">9.</w:t>
            </w:r>
          </w:p>
        </w:tc>
        <w:tc>
          <w:tcPr>
            <w:tcW w:w="2891" w:type="dxa"/>
            <w:tcBorders>
              <w:top w:val="nil"/>
              <w:left w:val="nil"/>
              <w:bottom w:val="nil"/>
              <w:right w:val="nil"/>
            </w:tcBorders>
          </w:tcPr>
          <w:p>
            <w:pPr>
              <w:pStyle w:val="0"/>
            </w:pPr>
            <w:r>
              <w:rPr>
                <w:sz w:val="20"/>
              </w:rPr>
              <w:t xml:space="preserve">Доля новой и усовершенствованной высокотехнологичной продукции в общем объеме отгруженной продукции</w:t>
            </w:r>
          </w:p>
        </w:tc>
        <w:tc>
          <w:tcPr>
            <w:tcW w:w="1304" w:type="dxa"/>
            <w:tcBorders>
              <w:top w:val="nil"/>
              <w:left w:val="nil"/>
              <w:bottom w:val="nil"/>
              <w:right w:val="nil"/>
            </w:tcBorders>
          </w:tcPr>
          <w:p>
            <w:pPr>
              <w:pStyle w:val="0"/>
            </w:pPr>
            <w:r>
              <w:rPr>
                <w:sz w:val="20"/>
              </w:rPr>
              <w:t xml:space="preserve">процентов</w:t>
            </w:r>
          </w:p>
        </w:tc>
        <w:tc>
          <w:tcPr>
            <w:tcW w:w="1587" w:type="dxa"/>
            <w:tcBorders>
              <w:top w:val="nil"/>
              <w:left w:val="nil"/>
              <w:bottom w:val="nil"/>
              <w:right w:val="nil"/>
            </w:tcBorders>
          </w:tcPr>
          <w:p>
            <w:pPr>
              <w:pStyle w:val="0"/>
            </w:pPr>
            <w:r>
              <w:rPr>
                <w:sz w:val="20"/>
              </w:rPr>
              <w:t xml:space="preserve">по направлениям деятельности центра</w:t>
            </w:r>
          </w:p>
        </w:tc>
        <w:tc>
          <w:tcPr>
            <w:tcW w:w="6123" w:type="dxa"/>
            <w:tcBorders>
              <w:top w:val="nil"/>
              <w:left w:val="nil"/>
              <w:bottom w:val="nil"/>
              <w:right w:val="nil"/>
            </w:tcBorders>
          </w:tcPr>
          <w:p>
            <w:pPr>
              <w:pStyle w:val="0"/>
            </w:pPr>
            <w:r>
              <w:rPr>
                <w:sz w:val="20"/>
              </w:rPr>
              <w:t xml:space="preserve">5 баллов присваивается центрам, вошедшим в первый квартиль Q1 по результатам ранжирования среднеарифметических значений каждого показателя критерия за 3 года;</w:t>
            </w:r>
          </w:p>
          <w:p>
            <w:pPr>
              <w:pStyle w:val="0"/>
            </w:pPr>
            <w:r>
              <w:rPr>
                <w:sz w:val="20"/>
              </w:rPr>
              <w:t xml:space="preserve">3,75 балла присваивается центрам, вошедшим во второй квартиль Q2 по результатам ранжирования среднеарифметических значений каждого показателя критерия за 3 года;</w:t>
            </w:r>
          </w:p>
          <w:p>
            <w:pPr>
              <w:pStyle w:val="0"/>
            </w:pPr>
            <w:r>
              <w:rPr>
                <w:sz w:val="20"/>
              </w:rPr>
              <w:t xml:space="preserve">2,5 балла присваивается центрам, вошедшим в третий квартиль Q3 по результатам ранжирования среднеарифметических значений каждого показателя критерия за 3 года;</w:t>
            </w:r>
          </w:p>
          <w:p>
            <w:pPr>
              <w:pStyle w:val="0"/>
            </w:pPr>
            <w:r>
              <w:rPr>
                <w:sz w:val="20"/>
              </w:rPr>
              <w:t xml:space="preserve">1,25 балла присваивается центрам, вошедшим в четвертый квартиль Q4 по результатам ранжирования среднеарифметических значений каждого показателя критерия за 3 года</w:t>
            </w:r>
          </w:p>
        </w:tc>
      </w:tr>
      <w:tr>
        <w:tc>
          <w:tcPr>
            <w:tcW w:w="567" w:type="dxa"/>
            <w:tcBorders>
              <w:top w:val="nil"/>
              <w:left w:val="nil"/>
              <w:bottom w:val="nil"/>
              <w:right w:val="nil"/>
            </w:tcBorders>
          </w:tcPr>
          <w:p>
            <w:pPr>
              <w:pStyle w:val="0"/>
              <w:jc w:val="center"/>
            </w:pPr>
            <w:r>
              <w:rPr>
                <w:sz w:val="20"/>
              </w:rPr>
              <w:t xml:space="preserve">10.</w:t>
            </w:r>
          </w:p>
        </w:tc>
        <w:tc>
          <w:tcPr>
            <w:tcW w:w="2891" w:type="dxa"/>
            <w:tcBorders>
              <w:top w:val="nil"/>
              <w:left w:val="nil"/>
              <w:bottom w:val="nil"/>
              <w:right w:val="nil"/>
            </w:tcBorders>
          </w:tcPr>
          <w:p>
            <w:pPr>
              <w:pStyle w:val="0"/>
            </w:pPr>
            <w:r>
              <w:rPr>
                <w:sz w:val="20"/>
              </w:rPr>
              <w:t xml:space="preserve">Техническая вооруженность сектора исследований и разработок (балансовая стоимость машин и оборудования в расчете на одного исследователя)</w:t>
            </w:r>
          </w:p>
        </w:tc>
        <w:tc>
          <w:tcPr>
            <w:tcW w:w="1304" w:type="dxa"/>
            <w:tcBorders>
              <w:top w:val="nil"/>
              <w:left w:val="nil"/>
              <w:bottom w:val="nil"/>
              <w:right w:val="nil"/>
            </w:tcBorders>
          </w:tcPr>
          <w:p>
            <w:pPr>
              <w:pStyle w:val="0"/>
            </w:pPr>
            <w:r>
              <w:rPr>
                <w:sz w:val="20"/>
              </w:rPr>
              <w:t xml:space="preserve">тыс. рублей/человек</w:t>
            </w:r>
          </w:p>
        </w:tc>
        <w:tc>
          <w:tcPr>
            <w:tcW w:w="1587" w:type="dxa"/>
            <w:tcBorders>
              <w:top w:val="nil"/>
              <w:left w:val="nil"/>
              <w:bottom w:val="nil"/>
              <w:right w:val="nil"/>
            </w:tcBorders>
          </w:tcPr>
          <w:p>
            <w:pPr>
              <w:pStyle w:val="0"/>
            </w:pPr>
            <w:r>
              <w:rPr>
                <w:sz w:val="20"/>
              </w:rPr>
              <w:t xml:space="preserve">по центру</w:t>
            </w:r>
          </w:p>
        </w:tc>
        <w:tc>
          <w:tcPr>
            <w:tcW w:w="6123" w:type="dxa"/>
            <w:tcBorders>
              <w:top w:val="nil"/>
              <w:left w:val="nil"/>
              <w:bottom w:val="nil"/>
              <w:right w:val="nil"/>
            </w:tcBorders>
          </w:tcPr>
          <w:p>
            <w:pPr>
              <w:pStyle w:val="0"/>
            </w:pPr>
            <w:r>
              <w:rPr>
                <w:sz w:val="20"/>
              </w:rPr>
              <w:t xml:space="preserve">5 баллов присваивается центрам, вошедшим в первый квартиль Q1 по результатам ранжирования среднеарифметических значений каждого показателя критерия за 3 года;</w:t>
            </w:r>
          </w:p>
          <w:p>
            <w:pPr>
              <w:pStyle w:val="0"/>
            </w:pPr>
            <w:r>
              <w:rPr>
                <w:sz w:val="20"/>
              </w:rPr>
              <w:t xml:space="preserve">3,75 балла присваивается центрам, вошедшим во второй квартиль Q2 по результатам ранжирования среднеарифметических значений каждого показателя критерия за 3 года;</w:t>
            </w:r>
          </w:p>
          <w:p>
            <w:pPr>
              <w:pStyle w:val="0"/>
            </w:pPr>
            <w:r>
              <w:rPr>
                <w:sz w:val="20"/>
              </w:rPr>
              <w:t xml:space="preserve">2,5 балла присваивается центрам, вошедшим в третий квартиль Q3 по результатам ранжирования среднеарифметических значений каждого показателя критерия за 3 года;</w:t>
            </w:r>
          </w:p>
          <w:p>
            <w:pPr>
              <w:pStyle w:val="0"/>
            </w:pPr>
            <w:r>
              <w:rPr>
                <w:sz w:val="20"/>
              </w:rPr>
              <w:t xml:space="preserve">1,25 балла присваивается центрам, вошедшим в четвертый квартиль Q4 по результатам ранжирования среднеарифметических значений каждого показателя критерия за 3 года</w:t>
            </w:r>
          </w:p>
        </w:tc>
      </w:tr>
      <w:tr>
        <w:tc>
          <w:tcPr>
            <w:tcW w:w="567" w:type="dxa"/>
            <w:tcBorders>
              <w:top w:val="nil"/>
              <w:left w:val="nil"/>
              <w:bottom w:val="nil"/>
              <w:right w:val="nil"/>
            </w:tcBorders>
          </w:tcPr>
          <w:p>
            <w:pPr>
              <w:pStyle w:val="0"/>
            </w:pPr>
            <w:r>
              <w:rPr>
                <w:sz w:val="20"/>
              </w:rPr>
              <w:t xml:space="preserve">11.</w:t>
            </w:r>
          </w:p>
        </w:tc>
        <w:tc>
          <w:tcPr>
            <w:tcW w:w="2891" w:type="dxa"/>
            <w:tcBorders>
              <w:top w:val="nil"/>
              <w:left w:val="nil"/>
              <w:bottom w:val="nil"/>
              <w:right w:val="nil"/>
            </w:tcBorders>
          </w:tcPr>
          <w:p>
            <w:pPr>
              <w:pStyle w:val="0"/>
            </w:pPr>
            <w:r>
              <w:rPr>
                <w:sz w:val="20"/>
              </w:rPr>
              <w:t xml:space="preserve">Количество новых высокотехнологических рабочих мест</w:t>
            </w:r>
          </w:p>
        </w:tc>
        <w:tc>
          <w:tcPr>
            <w:tcW w:w="1304" w:type="dxa"/>
            <w:tcBorders>
              <w:top w:val="nil"/>
              <w:left w:val="nil"/>
              <w:bottom w:val="nil"/>
              <w:right w:val="nil"/>
            </w:tcBorders>
          </w:tcPr>
          <w:p>
            <w:pPr>
              <w:pStyle w:val="0"/>
            </w:pPr>
            <w:r>
              <w:rPr>
                <w:sz w:val="20"/>
              </w:rPr>
              <w:t xml:space="preserve">единиц</w:t>
            </w:r>
          </w:p>
        </w:tc>
        <w:tc>
          <w:tcPr>
            <w:tcW w:w="1587" w:type="dxa"/>
            <w:tcBorders>
              <w:top w:val="nil"/>
              <w:left w:val="nil"/>
              <w:bottom w:val="nil"/>
              <w:right w:val="nil"/>
            </w:tcBorders>
          </w:tcPr>
          <w:p>
            <w:pPr>
              <w:pStyle w:val="0"/>
            </w:pPr>
            <w:r>
              <w:rPr>
                <w:sz w:val="20"/>
              </w:rPr>
              <w:t xml:space="preserve">по направлениям деятельности центра</w:t>
            </w:r>
          </w:p>
        </w:tc>
        <w:tc>
          <w:tcPr>
            <w:tcW w:w="6123" w:type="dxa"/>
            <w:tcBorders>
              <w:top w:val="nil"/>
              <w:left w:val="nil"/>
              <w:bottom w:val="nil"/>
              <w:right w:val="nil"/>
            </w:tcBorders>
          </w:tcPr>
          <w:p>
            <w:pPr>
              <w:pStyle w:val="0"/>
            </w:pPr>
            <w:r>
              <w:rPr>
                <w:sz w:val="20"/>
              </w:rPr>
              <w:t xml:space="preserve">5 баллов присваивается центрам, вошедшим в первый квартиль Q1 по результатам ранжирования среднеарифметических значений каждого показателя критерия за 3 года;</w:t>
            </w:r>
          </w:p>
          <w:p>
            <w:pPr>
              <w:pStyle w:val="0"/>
            </w:pPr>
            <w:r>
              <w:rPr>
                <w:sz w:val="20"/>
              </w:rPr>
              <w:t xml:space="preserve">3,75 балла присваивается центрам, вошедшим во второй квартиль Q2 по результатам ранжирования среднеарифметических значений каждого показателя критерия за 3 года;</w:t>
            </w:r>
          </w:p>
          <w:p>
            <w:pPr>
              <w:pStyle w:val="0"/>
            </w:pPr>
            <w:r>
              <w:rPr>
                <w:sz w:val="20"/>
              </w:rPr>
              <w:t xml:space="preserve">2,5 балла присваивается центрам, вошедшим в третий квартиль Q3 по результатам ранжирования среднеарифметических значений каждого показателя критерия за 3 года;</w:t>
            </w:r>
          </w:p>
          <w:p>
            <w:pPr>
              <w:pStyle w:val="0"/>
            </w:pPr>
            <w:r>
              <w:rPr>
                <w:sz w:val="20"/>
              </w:rPr>
              <w:t xml:space="preserve">1,25 балла присваивается центрам, вошедшим в четвертый квартиль Q4 по результатам ранжирования среднеарифметических значений каждого показателя критерия за 3 года</w:t>
            </w:r>
          </w:p>
        </w:tc>
      </w:tr>
      <w:tr>
        <w:tc>
          <w:tcPr>
            <w:tcW w:w="567" w:type="dxa"/>
            <w:tcBorders>
              <w:top w:val="nil"/>
              <w:left w:val="nil"/>
              <w:bottom w:val="nil"/>
              <w:right w:val="nil"/>
            </w:tcBorders>
          </w:tcPr>
          <w:p>
            <w:pPr>
              <w:pStyle w:val="0"/>
            </w:pPr>
            <w:r>
              <w:rPr>
                <w:sz w:val="20"/>
              </w:rPr>
              <w:t xml:space="preserve">12.</w:t>
            </w:r>
          </w:p>
        </w:tc>
        <w:tc>
          <w:tcPr>
            <w:tcW w:w="2891" w:type="dxa"/>
            <w:tcBorders>
              <w:top w:val="nil"/>
              <w:left w:val="nil"/>
              <w:bottom w:val="nil"/>
              <w:right w:val="nil"/>
            </w:tcBorders>
          </w:tcPr>
          <w:p>
            <w:pPr>
              <w:pStyle w:val="0"/>
            </w:pPr>
            <w:r>
              <w:rPr>
                <w:sz w:val="20"/>
              </w:rPr>
              <w:t xml:space="preserve">Численность исследователей, выполнявших научные исследования и разработки, на 10000 занятых в экономике субъекта Российской Федерации</w:t>
            </w:r>
          </w:p>
        </w:tc>
        <w:tc>
          <w:tcPr>
            <w:tcW w:w="1304" w:type="dxa"/>
            <w:tcBorders>
              <w:top w:val="nil"/>
              <w:left w:val="nil"/>
              <w:bottom w:val="nil"/>
              <w:right w:val="nil"/>
            </w:tcBorders>
          </w:tcPr>
          <w:p>
            <w:pPr>
              <w:pStyle w:val="0"/>
            </w:pPr>
            <w:r>
              <w:rPr>
                <w:sz w:val="20"/>
              </w:rPr>
              <w:t xml:space="preserve">человек</w:t>
            </w:r>
          </w:p>
        </w:tc>
        <w:tc>
          <w:tcPr>
            <w:tcW w:w="1587" w:type="dxa"/>
            <w:tcBorders>
              <w:top w:val="nil"/>
              <w:left w:val="nil"/>
              <w:bottom w:val="nil"/>
              <w:right w:val="nil"/>
            </w:tcBorders>
          </w:tcPr>
          <w:p>
            <w:pPr>
              <w:pStyle w:val="0"/>
            </w:pPr>
            <w:r>
              <w:rPr>
                <w:sz w:val="20"/>
              </w:rPr>
              <w:t xml:space="preserve">по субъекту Российской Федерации</w:t>
            </w:r>
          </w:p>
        </w:tc>
        <w:tc>
          <w:tcPr>
            <w:tcW w:w="6123" w:type="dxa"/>
            <w:tcBorders>
              <w:top w:val="nil"/>
              <w:left w:val="nil"/>
              <w:bottom w:val="nil"/>
              <w:right w:val="nil"/>
            </w:tcBorders>
          </w:tcPr>
          <w:p>
            <w:pPr>
              <w:pStyle w:val="0"/>
            </w:pPr>
            <w:r>
              <w:rPr>
                <w:sz w:val="20"/>
              </w:rPr>
              <w:t xml:space="preserve">5 баллов присваивается центрам, вошедшим в первый квартиль Q1 по результатам ранжирования среднеарифметических значений каждого показателя критерия за 3 года;</w:t>
            </w:r>
          </w:p>
          <w:p>
            <w:pPr>
              <w:pStyle w:val="0"/>
            </w:pPr>
            <w:r>
              <w:rPr>
                <w:sz w:val="20"/>
              </w:rPr>
              <w:t xml:space="preserve">3,75 балла присваивается центрам, вошедшим во второй квартиль Q2 по результатам ранжирования среднеарифметических значений каждого показателя критерия за 3 года;</w:t>
            </w:r>
          </w:p>
          <w:p>
            <w:pPr>
              <w:pStyle w:val="0"/>
            </w:pPr>
            <w:r>
              <w:rPr>
                <w:sz w:val="20"/>
              </w:rPr>
              <w:t xml:space="preserve">2,5 балла присваивается центрам, вошедшим в третий квартиль Q3 по результатам ранжирования среднеарифметических значений каждого показателя критерия за 3 года;</w:t>
            </w:r>
          </w:p>
          <w:p>
            <w:pPr>
              <w:pStyle w:val="0"/>
            </w:pPr>
            <w:r>
              <w:rPr>
                <w:sz w:val="20"/>
              </w:rPr>
              <w:t xml:space="preserve">1,25 балла присваивается центрам, вошедшим в четвертый квартиль Q4 по результатам ранжирования среднеарифметических значений каждого показателя критерия за 3 года</w:t>
            </w:r>
          </w:p>
        </w:tc>
      </w:tr>
      <w:tr>
        <w:tc>
          <w:tcPr>
            <w:gridSpan w:val="5"/>
            <w:tcW w:w="12472" w:type="dxa"/>
            <w:tcBorders>
              <w:top w:val="nil"/>
              <w:left w:val="nil"/>
              <w:bottom w:val="nil"/>
              <w:right w:val="nil"/>
            </w:tcBorders>
          </w:tcPr>
          <w:p>
            <w:pPr>
              <w:pStyle w:val="0"/>
              <w:outlineLvl w:val="2"/>
              <w:jc w:val="center"/>
            </w:pPr>
            <w:r>
              <w:rPr>
                <w:sz w:val="20"/>
              </w:rPr>
              <w:t xml:space="preserve">II. Критерии, характеризующие вовлеченность субъекта Российской Федерации в реализацию программы деятельности центра </w:t>
            </w:r>
            <w:hyperlink w:history="0" w:anchor="P544" w:tooltip="&lt;2&gt; Для определения квартиля центра, участвующего в конкурсе, проводится вычисление среднеарифметического значения каждого показателя критерия за 3 года, предшествующие подаче заявки, для каждого центра, участвующего в конкурсе.">
              <w:r>
                <w:rPr>
                  <w:sz w:val="20"/>
                  <w:color w:val="0000ff"/>
                </w:rPr>
                <w:t xml:space="preserve">&lt;2&gt;</w:t>
              </w:r>
            </w:hyperlink>
          </w:p>
        </w:tc>
      </w:tr>
      <w:tr>
        <w:tc>
          <w:tcPr>
            <w:tcW w:w="567" w:type="dxa"/>
            <w:tcBorders>
              <w:top w:val="nil"/>
              <w:left w:val="nil"/>
              <w:bottom w:val="nil"/>
              <w:right w:val="nil"/>
            </w:tcBorders>
          </w:tcPr>
          <w:p>
            <w:pPr>
              <w:pStyle w:val="0"/>
              <w:jc w:val="center"/>
            </w:pPr>
            <w:r>
              <w:rPr>
                <w:sz w:val="20"/>
              </w:rPr>
              <w:t xml:space="preserve">1.</w:t>
            </w:r>
          </w:p>
        </w:tc>
        <w:tc>
          <w:tcPr>
            <w:tcW w:w="2891" w:type="dxa"/>
            <w:tcBorders>
              <w:top w:val="nil"/>
              <w:left w:val="nil"/>
              <w:bottom w:val="nil"/>
              <w:right w:val="nil"/>
            </w:tcBorders>
          </w:tcPr>
          <w:p>
            <w:pPr>
              <w:pStyle w:val="0"/>
            </w:pPr>
            <w:r>
              <w:rPr>
                <w:sz w:val="20"/>
              </w:rPr>
              <w:t xml:space="preserve">Объем финансовой поддержки из бюджета субъекта Российской Федерации и (или) субъектов Российской Федерации, на территории которых осуществляют деятельность участники центра, программы центра с использованием всех инструментов региональной поддержки</w:t>
            </w:r>
          </w:p>
        </w:tc>
        <w:tc>
          <w:tcPr>
            <w:tcW w:w="1304" w:type="dxa"/>
            <w:tcBorders>
              <w:top w:val="nil"/>
              <w:left w:val="nil"/>
              <w:bottom w:val="nil"/>
              <w:right w:val="nil"/>
            </w:tcBorders>
          </w:tcPr>
          <w:p>
            <w:pPr>
              <w:pStyle w:val="0"/>
            </w:pPr>
            <w:r>
              <w:rPr>
                <w:sz w:val="20"/>
              </w:rPr>
              <w:t xml:space="preserve">рублей</w:t>
            </w:r>
          </w:p>
        </w:tc>
        <w:tc>
          <w:tcPr>
            <w:tcW w:w="1587" w:type="dxa"/>
            <w:tcBorders>
              <w:top w:val="nil"/>
              <w:left w:val="nil"/>
              <w:bottom w:val="nil"/>
              <w:right w:val="nil"/>
            </w:tcBorders>
          </w:tcPr>
          <w:p>
            <w:pPr>
              <w:pStyle w:val="0"/>
            </w:pPr>
            <w:r>
              <w:rPr>
                <w:sz w:val="20"/>
              </w:rPr>
              <w:t xml:space="preserve">по субъекту Российской Федерации</w:t>
            </w:r>
          </w:p>
        </w:tc>
        <w:tc>
          <w:tcPr>
            <w:tcW w:w="6123" w:type="dxa"/>
            <w:tcBorders>
              <w:top w:val="nil"/>
              <w:left w:val="nil"/>
              <w:bottom w:val="nil"/>
              <w:right w:val="nil"/>
            </w:tcBorders>
          </w:tcPr>
          <w:p>
            <w:pPr>
              <w:pStyle w:val="0"/>
            </w:pPr>
            <w:r>
              <w:rPr>
                <w:sz w:val="20"/>
              </w:rPr>
              <w:t xml:space="preserve">5 баллов присваивается центрам, вошедшим в первый квартиль Q1 по результатам ранжирования среднеарифметических значений каждого показателя критерия;</w:t>
            </w:r>
          </w:p>
          <w:p>
            <w:pPr>
              <w:pStyle w:val="0"/>
            </w:pPr>
            <w:r>
              <w:rPr>
                <w:sz w:val="20"/>
              </w:rPr>
              <w:t xml:space="preserve">3,75 балла присваивается центрам, вошедшим во второй квартиль Q2 по результатам ранжирования среднеарифметических значений каждого показателя критерия;</w:t>
            </w:r>
          </w:p>
          <w:p>
            <w:pPr>
              <w:pStyle w:val="0"/>
            </w:pPr>
            <w:r>
              <w:rPr>
                <w:sz w:val="20"/>
              </w:rPr>
              <w:t xml:space="preserve">2,5 балла присваивается центрам, вошедшим в третий квартиль Q3 по результатам ранжирования среднеарифметических значений каждого показателя критерия;</w:t>
            </w:r>
          </w:p>
          <w:p>
            <w:pPr>
              <w:pStyle w:val="0"/>
            </w:pPr>
            <w:r>
              <w:rPr>
                <w:sz w:val="20"/>
              </w:rPr>
              <w:t xml:space="preserve">1,25 балла присваивается центрам, вошедшим в четвертый квартиль Q4 по результатам ранжирования среднеарифметических значений каждого показателя критерия</w:t>
            </w:r>
          </w:p>
        </w:tc>
      </w:tr>
      <w:tr>
        <w:tc>
          <w:tcPr>
            <w:tcW w:w="567" w:type="dxa"/>
            <w:tcBorders>
              <w:top w:val="nil"/>
              <w:left w:val="nil"/>
              <w:bottom w:val="nil"/>
              <w:right w:val="nil"/>
            </w:tcBorders>
          </w:tcPr>
          <w:p>
            <w:pPr>
              <w:pStyle w:val="0"/>
              <w:jc w:val="center"/>
            </w:pPr>
            <w:r>
              <w:rPr>
                <w:sz w:val="20"/>
              </w:rPr>
              <w:t xml:space="preserve">2.</w:t>
            </w:r>
          </w:p>
        </w:tc>
        <w:tc>
          <w:tcPr>
            <w:tcW w:w="2891" w:type="dxa"/>
            <w:tcBorders>
              <w:top w:val="nil"/>
              <w:left w:val="nil"/>
              <w:bottom w:val="nil"/>
              <w:right w:val="nil"/>
            </w:tcBorders>
          </w:tcPr>
          <w:p>
            <w:pPr>
              <w:pStyle w:val="0"/>
            </w:pPr>
            <w:r>
              <w:rPr>
                <w:sz w:val="20"/>
              </w:rPr>
              <w:t xml:space="preserve">Наличие в субъекте Российской Федерации следующих инструментов развития:</w:t>
            </w:r>
          </w:p>
          <w:p>
            <w:pPr>
              <w:pStyle w:val="0"/>
            </w:pPr>
            <w:r>
              <w:rPr>
                <w:sz w:val="20"/>
              </w:rPr>
              <w:t xml:space="preserve">территории опережающего развития;</w:t>
            </w:r>
          </w:p>
          <w:p>
            <w:pPr>
              <w:pStyle w:val="0"/>
            </w:pPr>
            <w:r>
              <w:rPr>
                <w:sz w:val="20"/>
              </w:rPr>
              <w:t xml:space="preserve">особые экономические зоны;</w:t>
            </w:r>
          </w:p>
          <w:p>
            <w:pPr>
              <w:pStyle w:val="0"/>
            </w:pPr>
            <w:r>
              <w:rPr>
                <w:sz w:val="20"/>
              </w:rPr>
              <w:t xml:space="preserve">промышленные технопарки;</w:t>
            </w:r>
          </w:p>
          <w:p>
            <w:pPr>
              <w:pStyle w:val="0"/>
            </w:pPr>
            <w:r>
              <w:rPr>
                <w:sz w:val="20"/>
              </w:rPr>
              <w:t xml:space="preserve">индустриальные (промышленные) парки;</w:t>
            </w:r>
          </w:p>
          <w:p>
            <w:pPr>
              <w:pStyle w:val="0"/>
            </w:pPr>
            <w:r>
              <w:rPr>
                <w:sz w:val="20"/>
              </w:rPr>
              <w:t xml:space="preserve">промышленные кластеры;</w:t>
            </w:r>
          </w:p>
          <w:p>
            <w:pPr>
              <w:pStyle w:val="0"/>
            </w:pPr>
            <w:r>
              <w:rPr>
                <w:sz w:val="20"/>
              </w:rPr>
              <w:t xml:space="preserve">территориальные инновационные кластеры;</w:t>
            </w:r>
          </w:p>
          <w:p>
            <w:pPr>
              <w:pStyle w:val="0"/>
            </w:pPr>
            <w:r>
              <w:rPr>
                <w:sz w:val="20"/>
              </w:rPr>
              <w:t xml:space="preserve">инновационные научно-технологические центры</w:t>
            </w:r>
          </w:p>
        </w:tc>
        <w:tc>
          <w:tcPr>
            <w:tcW w:w="1304" w:type="dxa"/>
            <w:tcBorders>
              <w:top w:val="nil"/>
              <w:left w:val="nil"/>
              <w:bottom w:val="nil"/>
              <w:right w:val="nil"/>
            </w:tcBorders>
          </w:tcPr>
          <w:p>
            <w:pPr>
              <w:pStyle w:val="0"/>
            </w:pPr>
            <w:r>
              <w:rPr>
                <w:sz w:val="20"/>
              </w:rPr>
              <w:t xml:space="preserve">единиц</w:t>
            </w:r>
          </w:p>
        </w:tc>
        <w:tc>
          <w:tcPr>
            <w:tcW w:w="1587" w:type="dxa"/>
            <w:tcBorders>
              <w:top w:val="nil"/>
              <w:left w:val="nil"/>
              <w:bottom w:val="nil"/>
              <w:right w:val="nil"/>
            </w:tcBorders>
          </w:tcPr>
          <w:p>
            <w:pPr>
              <w:pStyle w:val="0"/>
            </w:pPr>
            <w:r>
              <w:rPr>
                <w:sz w:val="20"/>
              </w:rPr>
              <w:t xml:space="preserve">по субъекту Российской Федерации</w:t>
            </w:r>
          </w:p>
        </w:tc>
        <w:tc>
          <w:tcPr>
            <w:tcW w:w="6123" w:type="dxa"/>
            <w:tcBorders>
              <w:top w:val="nil"/>
              <w:left w:val="nil"/>
              <w:bottom w:val="nil"/>
              <w:right w:val="nil"/>
            </w:tcBorders>
          </w:tcPr>
          <w:p>
            <w:pPr>
              <w:pStyle w:val="0"/>
            </w:pPr>
            <w:r>
              <w:rPr>
                <w:sz w:val="20"/>
              </w:rPr>
              <w:t xml:space="preserve">наличие в субъекте Российской Федерации не менее 5 инструментов развития - 5 баллов;</w:t>
            </w:r>
          </w:p>
          <w:p>
            <w:pPr>
              <w:pStyle w:val="0"/>
            </w:pPr>
            <w:r>
              <w:rPr>
                <w:sz w:val="20"/>
              </w:rPr>
              <w:t xml:space="preserve">наличие в субъекте Российской Федерации 4 инструментов развития - 4 балла;</w:t>
            </w:r>
          </w:p>
          <w:p>
            <w:pPr>
              <w:pStyle w:val="0"/>
            </w:pPr>
            <w:r>
              <w:rPr>
                <w:sz w:val="20"/>
              </w:rPr>
              <w:t xml:space="preserve">наличие в субъекте Российской Федерации 3 инструментов развития - 3 балла;</w:t>
            </w:r>
          </w:p>
          <w:p>
            <w:pPr>
              <w:pStyle w:val="0"/>
            </w:pPr>
            <w:r>
              <w:rPr>
                <w:sz w:val="20"/>
              </w:rPr>
              <w:t xml:space="preserve">наличие в субъекте Российской Федерации 2 инструментов развития - 2 балла;</w:t>
            </w:r>
          </w:p>
          <w:p>
            <w:pPr>
              <w:pStyle w:val="0"/>
            </w:pPr>
            <w:r>
              <w:rPr>
                <w:sz w:val="20"/>
              </w:rPr>
              <w:t xml:space="preserve">наличие в субъекте Российской Федерации 1 инструмента развития - 1 балл;</w:t>
            </w:r>
          </w:p>
          <w:p>
            <w:pPr>
              <w:pStyle w:val="0"/>
            </w:pPr>
            <w:r>
              <w:rPr>
                <w:sz w:val="20"/>
              </w:rPr>
              <w:t xml:space="preserve">отсутствие в субъекте Российской Федерации инструментов развития - 0 баллов</w:t>
            </w:r>
          </w:p>
        </w:tc>
      </w:tr>
      <w:tr>
        <w:tc>
          <w:tcPr>
            <w:tcW w:w="567" w:type="dxa"/>
            <w:tcBorders>
              <w:top w:val="nil"/>
              <w:left w:val="nil"/>
              <w:bottom w:val="nil"/>
              <w:right w:val="nil"/>
            </w:tcBorders>
          </w:tcPr>
          <w:p>
            <w:pPr>
              <w:pStyle w:val="0"/>
              <w:jc w:val="center"/>
            </w:pPr>
            <w:r>
              <w:rPr>
                <w:sz w:val="20"/>
              </w:rPr>
              <w:t xml:space="preserve">3.</w:t>
            </w:r>
          </w:p>
        </w:tc>
        <w:tc>
          <w:tcPr>
            <w:tcW w:w="2891" w:type="dxa"/>
            <w:tcBorders>
              <w:top w:val="nil"/>
              <w:left w:val="nil"/>
              <w:bottom w:val="nil"/>
              <w:right w:val="nil"/>
            </w:tcBorders>
          </w:tcPr>
          <w:p>
            <w:pPr>
              <w:pStyle w:val="0"/>
            </w:pPr>
            <w:r>
              <w:rPr>
                <w:sz w:val="20"/>
              </w:rPr>
              <w:t xml:space="preserve">Доля внебюджетных средств в общем объеме финансового обеспечения программы деятельности центра</w:t>
            </w:r>
          </w:p>
        </w:tc>
        <w:tc>
          <w:tcPr>
            <w:tcW w:w="1304" w:type="dxa"/>
            <w:tcBorders>
              <w:top w:val="nil"/>
              <w:left w:val="nil"/>
              <w:bottom w:val="nil"/>
              <w:right w:val="nil"/>
            </w:tcBorders>
          </w:tcPr>
          <w:p>
            <w:pPr>
              <w:pStyle w:val="0"/>
            </w:pPr>
            <w:r>
              <w:rPr>
                <w:sz w:val="20"/>
              </w:rPr>
              <w:t xml:space="preserve">процент</w:t>
            </w:r>
          </w:p>
        </w:tc>
        <w:tc>
          <w:tcPr>
            <w:tcW w:w="1587" w:type="dxa"/>
            <w:tcBorders>
              <w:top w:val="nil"/>
              <w:left w:val="nil"/>
              <w:bottom w:val="nil"/>
              <w:right w:val="nil"/>
            </w:tcBorders>
          </w:tcPr>
          <w:p>
            <w:pPr>
              <w:pStyle w:val="0"/>
            </w:pPr>
            <w:r>
              <w:rPr>
                <w:sz w:val="20"/>
              </w:rPr>
              <w:t xml:space="preserve">По центру</w:t>
            </w:r>
          </w:p>
        </w:tc>
        <w:tc>
          <w:tcPr>
            <w:tcW w:w="6123" w:type="dxa"/>
            <w:tcBorders>
              <w:top w:val="nil"/>
              <w:left w:val="nil"/>
              <w:bottom w:val="nil"/>
              <w:right w:val="nil"/>
            </w:tcBorders>
          </w:tcPr>
          <w:p>
            <w:pPr>
              <w:pStyle w:val="0"/>
            </w:pPr>
            <w:r>
              <w:rPr>
                <w:sz w:val="20"/>
              </w:rPr>
              <w:t xml:space="preserve">5 баллов присваивается центрам, вошедшим в первый квартиль Q1 по результатам ранжирования среднеарифметических значений каждого показателя критерия;</w:t>
            </w:r>
          </w:p>
          <w:p>
            <w:pPr>
              <w:pStyle w:val="0"/>
            </w:pPr>
            <w:r>
              <w:rPr>
                <w:sz w:val="20"/>
              </w:rPr>
              <w:t xml:space="preserve">3,75 балла присваивается центрам, вошедшим во второй квартиль Q2 по результатам ранжирования среднеарифметических значений каждого показателя критерия;</w:t>
            </w:r>
          </w:p>
          <w:p>
            <w:pPr>
              <w:pStyle w:val="0"/>
            </w:pPr>
            <w:r>
              <w:rPr>
                <w:sz w:val="20"/>
              </w:rPr>
              <w:t xml:space="preserve">2,5 балла присваивается центрам, вошедшим в третий квартиль Q3 по результатам ранжирования среднеарифметических значений каждого показателя критерия;</w:t>
            </w:r>
          </w:p>
          <w:p>
            <w:pPr>
              <w:pStyle w:val="0"/>
            </w:pPr>
            <w:r>
              <w:rPr>
                <w:sz w:val="20"/>
              </w:rPr>
              <w:t xml:space="preserve">1,25 балла присваивается центрам, вошедшим в четвертый квартиль Q4 по результатам ранжирования среднеарифметических значений каждого показателя критерия</w:t>
            </w:r>
          </w:p>
        </w:tc>
      </w:tr>
      <w:tr>
        <w:tc>
          <w:tcPr>
            <w:gridSpan w:val="5"/>
            <w:tcW w:w="12472" w:type="dxa"/>
            <w:tcBorders>
              <w:top w:val="nil"/>
              <w:left w:val="nil"/>
              <w:bottom w:val="nil"/>
              <w:right w:val="nil"/>
            </w:tcBorders>
          </w:tcPr>
          <w:p>
            <w:pPr>
              <w:pStyle w:val="0"/>
              <w:outlineLvl w:val="2"/>
              <w:jc w:val="center"/>
            </w:pPr>
            <w:r>
              <w:rPr>
                <w:sz w:val="20"/>
              </w:rPr>
              <w:t xml:space="preserve">III. Критерии, характеризующие научно-технологический потенциал субъекта Российской Федерации в соответствии со </w:t>
            </w:r>
            <w:hyperlink w:history="0" r:id="rId86" w:tooltip="Распоряжение Правительства РФ от 13.02.2019 N 207-р (ред. от 25.06.2022) &lt;Об утверждении Стратегии пространственного развития Российской Федерации на период до 2025 года&gt; {КонсультантПлюс}">
              <w:r>
                <w:rPr>
                  <w:sz w:val="20"/>
                  <w:color w:val="0000ff"/>
                </w:rPr>
                <w:t xml:space="preserve">Стратегией</w:t>
              </w:r>
            </w:hyperlink>
            <w:r>
              <w:rPr>
                <w:sz w:val="20"/>
              </w:rPr>
              <w:t xml:space="preserve"> пространственного развития Российской Федерации на период до 2025 года, утвержденной распоряжением Правительства Российской Федерации от 13 февраля 2019 г. N 207-р</w:t>
            </w:r>
          </w:p>
        </w:tc>
      </w:tr>
      <w:tr>
        <w:tc>
          <w:tcPr>
            <w:tcW w:w="567" w:type="dxa"/>
            <w:tcBorders>
              <w:top w:val="nil"/>
              <w:left w:val="nil"/>
              <w:bottom w:val="nil"/>
              <w:right w:val="nil"/>
            </w:tcBorders>
          </w:tcPr>
          <w:p>
            <w:pPr>
              <w:pStyle w:val="0"/>
              <w:jc w:val="center"/>
            </w:pPr>
            <w:r>
              <w:rPr>
                <w:sz w:val="20"/>
              </w:rPr>
              <w:t xml:space="preserve">1.</w:t>
            </w:r>
          </w:p>
        </w:tc>
        <w:tc>
          <w:tcPr>
            <w:tcW w:w="2891" w:type="dxa"/>
            <w:tcBorders>
              <w:top w:val="nil"/>
              <w:left w:val="nil"/>
              <w:bottom w:val="nil"/>
              <w:right w:val="nil"/>
            </w:tcBorders>
          </w:tcPr>
          <w:p>
            <w:pPr>
              <w:pStyle w:val="0"/>
            </w:pPr>
            <w:r>
              <w:rPr>
                <w:sz w:val="20"/>
              </w:rPr>
              <w:t xml:space="preserve">Наличие в субъекте Российской Федерации центра, включенного в перечень перспективных центров экономического роста, в которых сложились условия для формирования центров </w:t>
            </w:r>
            <w:hyperlink w:history="0" w:anchor="P545" w:tooltip="&lt;3&gt; Раздел V приложения N 3 к Стратегии пространственного развития Российской Федерации на период до 2025 года, утвержденной распоряжением Правительства Российской Федерации от 13 февраля 2019 г. N 207-р (далее - Стратегия).">
              <w:r>
                <w:rPr>
                  <w:sz w:val="20"/>
                  <w:color w:val="0000ff"/>
                </w:rPr>
                <w:t xml:space="preserve">&lt;3&gt;</w:t>
              </w:r>
            </w:hyperlink>
          </w:p>
        </w:tc>
        <w:tc>
          <w:tcPr>
            <w:tcW w:w="1304" w:type="dxa"/>
            <w:tcBorders>
              <w:top w:val="nil"/>
              <w:left w:val="nil"/>
              <w:bottom w:val="nil"/>
              <w:right w:val="nil"/>
            </w:tcBorders>
          </w:tcPr>
          <w:p>
            <w:pPr>
              <w:pStyle w:val="0"/>
            </w:pPr>
            <w:r>
              <w:rPr>
                <w:sz w:val="20"/>
              </w:rPr>
              <w:t xml:space="preserve">да/нет</w:t>
            </w:r>
          </w:p>
        </w:tc>
        <w:tc>
          <w:tcPr>
            <w:tcW w:w="1587" w:type="dxa"/>
            <w:tcBorders>
              <w:top w:val="nil"/>
              <w:left w:val="nil"/>
              <w:bottom w:val="nil"/>
              <w:right w:val="nil"/>
            </w:tcBorders>
          </w:tcPr>
          <w:p>
            <w:pPr>
              <w:pStyle w:val="0"/>
            </w:pPr>
            <w:r>
              <w:rPr>
                <w:sz w:val="20"/>
              </w:rPr>
              <w:t xml:space="preserve">по субъекту Российской Федерации</w:t>
            </w:r>
          </w:p>
        </w:tc>
        <w:tc>
          <w:tcPr>
            <w:tcW w:w="6123" w:type="dxa"/>
            <w:tcBorders>
              <w:top w:val="nil"/>
              <w:left w:val="nil"/>
              <w:bottom w:val="nil"/>
              <w:right w:val="nil"/>
            </w:tcBorders>
          </w:tcPr>
          <w:p>
            <w:pPr>
              <w:pStyle w:val="0"/>
            </w:pPr>
            <w:r>
              <w:rPr>
                <w:sz w:val="20"/>
              </w:rPr>
              <w:t xml:space="preserve">в субъекте Российской Федерации присутствует центр из перечня перспективных центров экономического роста, в которых сложились условия для формирования центров - 10 баллов;</w:t>
            </w:r>
          </w:p>
          <w:p>
            <w:pPr>
              <w:pStyle w:val="0"/>
            </w:pPr>
            <w:r>
              <w:rPr>
                <w:sz w:val="20"/>
              </w:rPr>
              <w:t xml:space="preserve">в субъекте Российской Федерации отсутствует центр из перечня перспективных центров экономического роста, в которых сложились условия для формирования центров - 0 баллов</w:t>
            </w:r>
          </w:p>
        </w:tc>
      </w:tr>
      <w:tr>
        <w:tc>
          <w:tcPr>
            <w:tcW w:w="567" w:type="dxa"/>
            <w:tcBorders>
              <w:top w:val="nil"/>
              <w:left w:val="nil"/>
              <w:bottom w:val="nil"/>
              <w:right w:val="nil"/>
            </w:tcBorders>
          </w:tcPr>
          <w:p>
            <w:pPr>
              <w:pStyle w:val="0"/>
              <w:jc w:val="center"/>
            </w:pPr>
            <w:r>
              <w:rPr>
                <w:sz w:val="20"/>
              </w:rPr>
              <w:t xml:space="preserve">2.</w:t>
            </w:r>
          </w:p>
        </w:tc>
        <w:tc>
          <w:tcPr>
            <w:tcW w:w="2891" w:type="dxa"/>
            <w:tcBorders>
              <w:top w:val="nil"/>
              <w:left w:val="nil"/>
              <w:bottom w:val="nil"/>
              <w:right w:val="nil"/>
            </w:tcBorders>
          </w:tcPr>
          <w:p>
            <w:pPr>
              <w:pStyle w:val="0"/>
            </w:pPr>
            <w:r>
              <w:rPr>
                <w:sz w:val="20"/>
              </w:rPr>
              <w:t xml:space="preserve">Наличие в перспективной экономической специализации субъекта Российской Федерации отрасли "Деятельность профессиональная, научная и техническая" </w:t>
            </w:r>
            <w:hyperlink w:history="0" w:anchor="P546" w:tooltip="&lt;4&gt; Приложение N 1 к Стратегии.">
              <w:r>
                <w:rPr>
                  <w:sz w:val="20"/>
                  <w:color w:val="0000ff"/>
                </w:rPr>
                <w:t xml:space="preserve">&lt;4&gt;</w:t>
              </w:r>
            </w:hyperlink>
          </w:p>
        </w:tc>
        <w:tc>
          <w:tcPr>
            <w:tcW w:w="1304" w:type="dxa"/>
            <w:tcBorders>
              <w:top w:val="nil"/>
              <w:left w:val="nil"/>
              <w:bottom w:val="nil"/>
              <w:right w:val="nil"/>
            </w:tcBorders>
          </w:tcPr>
          <w:p>
            <w:pPr>
              <w:pStyle w:val="0"/>
            </w:pPr>
            <w:r>
              <w:rPr>
                <w:sz w:val="20"/>
              </w:rPr>
              <w:t xml:space="preserve">да/нет</w:t>
            </w:r>
          </w:p>
        </w:tc>
        <w:tc>
          <w:tcPr>
            <w:tcW w:w="1587" w:type="dxa"/>
            <w:tcBorders>
              <w:top w:val="nil"/>
              <w:left w:val="nil"/>
              <w:bottom w:val="nil"/>
              <w:right w:val="nil"/>
            </w:tcBorders>
          </w:tcPr>
          <w:p>
            <w:pPr>
              <w:pStyle w:val="0"/>
            </w:pPr>
            <w:r>
              <w:rPr>
                <w:sz w:val="20"/>
              </w:rPr>
              <w:t xml:space="preserve">по субъекту Российской Федерации</w:t>
            </w:r>
          </w:p>
        </w:tc>
        <w:tc>
          <w:tcPr>
            <w:tcW w:w="6123" w:type="dxa"/>
            <w:tcBorders>
              <w:top w:val="nil"/>
              <w:left w:val="nil"/>
              <w:bottom w:val="nil"/>
              <w:right w:val="nil"/>
            </w:tcBorders>
          </w:tcPr>
          <w:p>
            <w:pPr>
              <w:pStyle w:val="0"/>
            </w:pPr>
            <w:r>
              <w:rPr>
                <w:sz w:val="20"/>
              </w:rPr>
              <w:t xml:space="preserve">наличие отрасли "Деятельность профессиональная, научная и техническая" в перспективной экономической специализации субъекта Российской Федерации - 5 баллов;</w:t>
            </w:r>
          </w:p>
          <w:p>
            <w:pPr>
              <w:pStyle w:val="0"/>
            </w:pPr>
            <w:r>
              <w:rPr>
                <w:sz w:val="20"/>
              </w:rPr>
              <w:t xml:space="preserve">отсутствие отрасли "Деятельность профессиональная, научная и техническая" в перспективной экономической специализации субъекта Российской Федерации - 0 баллов</w:t>
            </w:r>
          </w:p>
        </w:tc>
      </w:tr>
      <w:tr>
        <w:tc>
          <w:tcPr>
            <w:tcW w:w="567" w:type="dxa"/>
            <w:tcBorders>
              <w:top w:val="nil"/>
              <w:left w:val="nil"/>
              <w:bottom w:val="single" w:sz="4"/>
              <w:right w:val="nil"/>
            </w:tcBorders>
          </w:tcPr>
          <w:p>
            <w:pPr>
              <w:pStyle w:val="0"/>
              <w:jc w:val="center"/>
            </w:pPr>
            <w:r>
              <w:rPr>
                <w:sz w:val="20"/>
              </w:rPr>
              <w:t xml:space="preserve">3.</w:t>
            </w:r>
          </w:p>
        </w:tc>
        <w:tc>
          <w:tcPr>
            <w:tcW w:w="2891" w:type="dxa"/>
            <w:tcBorders>
              <w:top w:val="nil"/>
              <w:left w:val="nil"/>
              <w:bottom w:val="single" w:sz="4"/>
              <w:right w:val="nil"/>
            </w:tcBorders>
          </w:tcPr>
          <w:p>
            <w:pPr>
              <w:pStyle w:val="0"/>
            </w:pPr>
            <w:r>
              <w:rPr>
                <w:sz w:val="20"/>
              </w:rPr>
              <w:t xml:space="preserve">Вхождение субъекта Российской Федерации в перечень приоритетных геостратегических территорий Российской Федерации </w:t>
            </w:r>
            <w:hyperlink w:history="0" w:anchor="P547" w:tooltip="&lt;5&gt; Приложение N 4 к Стратегии.">
              <w:r>
                <w:rPr>
                  <w:sz w:val="20"/>
                  <w:color w:val="0000ff"/>
                </w:rPr>
                <w:t xml:space="preserve">&lt;5&gt;</w:t>
              </w:r>
            </w:hyperlink>
          </w:p>
        </w:tc>
        <w:tc>
          <w:tcPr>
            <w:tcW w:w="1304" w:type="dxa"/>
            <w:tcBorders>
              <w:top w:val="nil"/>
              <w:left w:val="nil"/>
              <w:bottom w:val="single" w:sz="4"/>
              <w:right w:val="nil"/>
            </w:tcBorders>
          </w:tcPr>
          <w:p>
            <w:pPr>
              <w:pStyle w:val="0"/>
            </w:pPr>
            <w:r>
              <w:rPr>
                <w:sz w:val="20"/>
              </w:rPr>
              <w:t xml:space="preserve">да/нет</w:t>
            </w:r>
          </w:p>
        </w:tc>
        <w:tc>
          <w:tcPr>
            <w:tcW w:w="1587" w:type="dxa"/>
            <w:tcBorders>
              <w:top w:val="nil"/>
              <w:left w:val="nil"/>
              <w:bottom w:val="single" w:sz="4"/>
              <w:right w:val="nil"/>
            </w:tcBorders>
          </w:tcPr>
          <w:p>
            <w:pPr>
              <w:pStyle w:val="0"/>
            </w:pPr>
            <w:r>
              <w:rPr>
                <w:sz w:val="20"/>
              </w:rPr>
              <w:t xml:space="preserve">по субъекту Российской Федерации</w:t>
            </w:r>
          </w:p>
        </w:tc>
        <w:tc>
          <w:tcPr>
            <w:tcW w:w="6123" w:type="dxa"/>
            <w:tcBorders>
              <w:top w:val="nil"/>
              <w:left w:val="nil"/>
              <w:bottom w:val="single" w:sz="4"/>
              <w:right w:val="nil"/>
            </w:tcBorders>
          </w:tcPr>
          <w:p>
            <w:pPr>
              <w:pStyle w:val="0"/>
            </w:pPr>
            <w:r>
              <w:rPr>
                <w:sz w:val="20"/>
              </w:rPr>
              <w:t xml:space="preserve">субъект Российской Федерации входит в перечень приоритетных геостратегических территорий Российской Федерации - 10 баллов;</w:t>
            </w:r>
          </w:p>
          <w:p>
            <w:pPr>
              <w:pStyle w:val="0"/>
            </w:pPr>
            <w:r>
              <w:rPr>
                <w:sz w:val="20"/>
              </w:rPr>
              <w:t xml:space="preserve">субъект Российской Федерации не входит в перечень приоритетных геостратегических территорий Российской Федерации - 0 баллов</w:t>
            </w:r>
          </w:p>
        </w:tc>
      </w:tr>
    </w:tbl>
    <w:p>
      <w:pPr>
        <w:sectPr>
          <w:headerReference w:type="default" r:id="rId83"/>
          <w:headerReference w:type="first" r:id="rId83"/>
          <w:footerReference w:type="default" r:id="rId84"/>
          <w:footerReference w:type="first" r:id="rId84"/>
          <w:pgSz w:w="16838" w:h="11906" w:orient="landscape"/>
          <w:pgMar w:top="1133" w:right="1440" w:bottom="566" w:left="1440" w:header="0" w:footer="0" w:gutter="0"/>
          <w:titlePg/>
        </w:sectPr>
      </w:pPr>
    </w:p>
    <w:p>
      <w:pPr>
        <w:pStyle w:val="0"/>
        <w:jc w:val="both"/>
      </w:pPr>
      <w:r>
        <w:rPr>
          <w:sz w:val="20"/>
        </w:rPr>
      </w:r>
    </w:p>
    <w:p>
      <w:pPr>
        <w:pStyle w:val="0"/>
        <w:ind w:firstLine="540"/>
        <w:jc w:val="both"/>
      </w:pPr>
      <w:r>
        <w:rPr>
          <w:sz w:val="20"/>
        </w:rPr>
        <w:t xml:space="preserve">--------------------------------</w:t>
      </w:r>
    </w:p>
    <w:bookmarkStart w:id="543" w:name="P543"/>
    <w:bookmarkEnd w:id="543"/>
    <w:p>
      <w:pPr>
        <w:pStyle w:val="0"/>
        <w:spacing w:before="200" w:line-rule="auto"/>
        <w:ind w:firstLine="540"/>
        <w:jc w:val="both"/>
      </w:pPr>
      <w:r>
        <w:rPr>
          <w:sz w:val="20"/>
        </w:rPr>
        <w:t xml:space="preserve">&lt;1&gt; Для определения квартиля центра, участвующего в конкурсе в целях последующего оказания государственной поддержки научно-образовательных центров мирового уровня на основе интеграции федеральных образовательных организаций высшего образования и научных организаций и их кооперации с организациями, действующими в реальном секторе экономики (далее - конкурс), проводится вычисление среднеарифметического значения каждого показателя критерия за 3 года, предшествующие подаче заявки, для каждого центра, участвующего в конкурсе.</w:t>
      </w:r>
    </w:p>
    <w:bookmarkStart w:id="544" w:name="P544"/>
    <w:bookmarkEnd w:id="544"/>
    <w:p>
      <w:pPr>
        <w:pStyle w:val="0"/>
        <w:spacing w:before="200" w:line-rule="auto"/>
        <w:ind w:firstLine="540"/>
        <w:jc w:val="both"/>
      </w:pPr>
      <w:r>
        <w:rPr>
          <w:sz w:val="20"/>
        </w:rPr>
        <w:t xml:space="preserve">&lt;2&gt; Для определения квартиля центра, участвующего в конкурсе, проводится вычисление среднеарифметического значения каждого показателя критерия за 3 года, предшествующие подаче заявки, для каждого центра, участвующего в конкурсе.</w:t>
      </w:r>
    </w:p>
    <w:bookmarkStart w:id="545" w:name="P545"/>
    <w:bookmarkEnd w:id="545"/>
    <w:p>
      <w:pPr>
        <w:pStyle w:val="0"/>
        <w:spacing w:before="200" w:line-rule="auto"/>
        <w:ind w:firstLine="540"/>
        <w:jc w:val="both"/>
      </w:pPr>
      <w:r>
        <w:rPr>
          <w:sz w:val="20"/>
        </w:rPr>
        <w:t xml:space="preserve">&lt;3&gt; </w:t>
      </w:r>
      <w:hyperlink w:history="0" r:id="rId87" w:tooltip="Распоряжение Правительства РФ от 13.02.2019 N 207-р (ред. от 25.06.2022) &lt;Об утверждении Стратегии пространственного развития Российской Федерации на период до 2025 года&gt; {КонсультантПлюс}">
        <w:r>
          <w:rPr>
            <w:sz w:val="20"/>
            <w:color w:val="0000ff"/>
          </w:rPr>
          <w:t xml:space="preserve">Раздел V</w:t>
        </w:r>
      </w:hyperlink>
      <w:r>
        <w:rPr>
          <w:sz w:val="20"/>
        </w:rPr>
        <w:t xml:space="preserve"> приложения N 3 к Стратегии пространственного развития Российской Федерации на период до 2025 года, утвержденной распоряжением Правительства Российской Федерации от 13 февраля 2019 г. N 207-р (далее - Стратегия).</w:t>
      </w:r>
    </w:p>
    <w:bookmarkStart w:id="546" w:name="P546"/>
    <w:bookmarkEnd w:id="546"/>
    <w:p>
      <w:pPr>
        <w:pStyle w:val="0"/>
        <w:spacing w:before="200" w:line-rule="auto"/>
        <w:ind w:firstLine="540"/>
        <w:jc w:val="both"/>
      </w:pPr>
      <w:r>
        <w:rPr>
          <w:sz w:val="20"/>
        </w:rPr>
        <w:t xml:space="preserve">&lt;4&gt; </w:t>
      </w:r>
      <w:hyperlink w:history="0" r:id="rId88" w:tooltip="Распоряжение Правительства РФ от 13.02.2019 N 207-р (ред. от 25.06.2022) &lt;Об утверждении Стратегии пространственного развития Российской Федерации на период до 2025 года&gt; {КонсультантПлюс}">
        <w:r>
          <w:rPr>
            <w:sz w:val="20"/>
            <w:color w:val="0000ff"/>
          </w:rPr>
          <w:t xml:space="preserve">Приложение N 1</w:t>
        </w:r>
      </w:hyperlink>
      <w:r>
        <w:rPr>
          <w:sz w:val="20"/>
        </w:rPr>
        <w:t xml:space="preserve"> к Стратегии.</w:t>
      </w:r>
    </w:p>
    <w:bookmarkStart w:id="547" w:name="P547"/>
    <w:bookmarkEnd w:id="547"/>
    <w:p>
      <w:pPr>
        <w:pStyle w:val="0"/>
        <w:spacing w:before="200" w:line-rule="auto"/>
        <w:ind w:firstLine="540"/>
        <w:jc w:val="both"/>
      </w:pPr>
      <w:r>
        <w:rPr>
          <w:sz w:val="20"/>
        </w:rPr>
        <w:t xml:space="preserve">&lt;5&gt; </w:t>
      </w:r>
      <w:hyperlink w:history="0" r:id="rId89" w:tooltip="Распоряжение Правительства РФ от 13.02.2019 N 207-р (ред. от 25.06.2022) &lt;Об утверждении Стратегии пространственного развития Российской Федерации на период до 2025 года&gt; {КонсультантПлюс}">
        <w:r>
          <w:rPr>
            <w:sz w:val="20"/>
            <w:color w:val="0000ff"/>
          </w:rPr>
          <w:t xml:space="preserve">Приложение N 4</w:t>
        </w:r>
      </w:hyperlink>
      <w:r>
        <w:rPr>
          <w:sz w:val="20"/>
        </w:rPr>
        <w:t xml:space="preserve"> к Стратегии.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w:t>
      </w:r>
    </w:p>
    <w:p>
      <w:pPr>
        <w:pStyle w:val="0"/>
        <w:jc w:val="right"/>
      </w:pPr>
      <w:r>
        <w:rPr>
          <w:sz w:val="20"/>
        </w:rPr>
        <w:t xml:space="preserve">к Правилам предоставления грантов</w:t>
      </w:r>
    </w:p>
    <w:p>
      <w:pPr>
        <w:pStyle w:val="0"/>
        <w:jc w:val="right"/>
      </w:pPr>
      <w:r>
        <w:rPr>
          <w:sz w:val="20"/>
        </w:rPr>
        <w:t xml:space="preserve">в форме субсидий из федерального бюджета</w:t>
      </w:r>
    </w:p>
    <w:p>
      <w:pPr>
        <w:pStyle w:val="0"/>
        <w:jc w:val="right"/>
      </w:pPr>
      <w:r>
        <w:rPr>
          <w:sz w:val="20"/>
        </w:rPr>
        <w:t xml:space="preserve">на оказание государственной поддержки</w:t>
      </w:r>
    </w:p>
    <w:p>
      <w:pPr>
        <w:pStyle w:val="0"/>
        <w:jc w:val="right"/>
      </w:pPr>
      <w:r>
        <w:rPr>
          <w:sz w:val="20"/>
        </w:rPr>
        <w:t xml:space="preserve">научно-образовательных центров мирового</w:t>
      </w:r>
    </w:p>
    <w:p>
      <w:pPr>
        <w:pStyle w:val="0"/>
        <w:jc w:val="right"/>
      </w:pPr>
      <w:r>
        <w:rPr>
          <w:sz w:val="20"/>
        </w:rPr>
        <w:t xml:space="preserve">уровня на основе интеграции</w:t>
      </w:r>
    </w:p>
    <w:p>
      <w:pPr>
        <w:pStyle w:val="0"/>
        <w:jc w:val="right"/>
      </w:pPr>
      <w:r>
        <w:rPr>
          <w:sz w:val="20"/>
        </w:rPr>
        <w:t xml:space="preserve">образовательных организаций высшего</w:t>
      </w:r>
    </w:p>
    <w:p>
      <w:pPr>
        <w:pStyle w:val="0"/>
        <w:jc w:val="right"/>
      </w:pPr>
      <w:r>
        <w:rPr>
          <w:sz w:val="20"/>
        </w:rPr>
        <w:t xml:space="preserve">образования и научных организаций</w:t>
      </w:r>
    </w:p>
    <w:p>
      <w:pPr>
        <w:pStyle w:val="0"/>
        <w:jc w:val="right"/>
      </w:pPr>
      <w:r>
        <w:rPr>
          <w:sz w:val="20"/>
        </w:rPr>
        <w:t xml:space="preserve">и их кооперации с организациями,</w:t>
      </w:r>
    </w:p>
    <w:p>
      <w:pPr>
        <w:pStyle w:val="0"/>
        <w:jc w:val="right"/>
      </w:pPr>
      <w:r>
        <w:rPr>
          <w:sz w:val="20"/>
        </w:rPr>
        <w:t xml:space="preserve">действующими в реальном</w:t>
      </w:r>
    </w:p>
    <w:p>
      <w:pPr>
        <w:pStyle w:val="0"/>
        <w:jc w:val="right"/>
      </w:pPr>
      <w:r>
        <w:rPr>
          <w:sz w:val="20"/>
        </w:rPr>
        <w:t xml:space="preserve">секторе экономики</w:t>
      </w:r>
    </w:p>
    <w:p>
      <w:pPr>
        <w:pStyle w:val="0"/>
        <w:jc w:val="both"/>
      </w:pPr>
      <w:r>
        <w:rPr>
          <w:sz w:val="20"/>
        </w:rPr>
      </w:r>
    </w:p>
    <w:bookmarkStart w:id="565" w:name="P565"/>
    <w:bookmarkEnd w:id="565"/>
    <w:p>
      <w:pPr>
        <w:pStyle w:val="2"/>
        <w:jc w:val="center"/>
      </w:pPr>
      <w:r>
        <w:rPr>
          <w:sz w:val="20"/>
        </w:rPr>
        <w:t xml:space="preserve">ПЕРЕЧЕНЬ</w:t>
      </w:r>
    </w:p>
    <w:p>
      <w:pPr>
        <w:pStyle w:val="2"/>
        <w:jc w:val="center"/>
      </w:pPr>
      <w:r>
        <w:rPr>
          <w:sz w:val="20"/>
        </w:rPr>
        <w:t xml:space="preserve">КРИТЕРИЕВ ОЦЕНКИ ТЕМПОВ ПРИРОСТА</w:t>
      </w:r>
    </w:p>
    <w:p>
      <w:pPr>
        <w:pStyle w:val="2"/>
        <w:jc w:val="center"/>
      </w:pPr>
      <w:r>
        <w:rPr>
          <w:sz w:val="20"/>
        </w:rPr>
        <w:t xml:space="preserve">ПОКАЗАТЕЛЕЙ РЕЗУЛЬТАТИВНОСТИ ДЕЯТЕЛЬНОСТИ</w:t>
      </w:r>
    </w:p>
    <w:p>
      <w:pPr>
        <w:pStyle w:val="2"/>
        <w:jc w:val="center"/>
      </w:pPr>
      <w:r>
        <w:rPr>
          <w:sz w:val="20"/>
        </w:rPr>
        <w:t xml:space="preserve">НАУЧНО-ОБРАЗОВАТЕЛЬНЫХ ЦЕНТРОВ МИРОВОГО УРОВНЯ НА ОСНОВЕ</w:t>
      </w:r>
    </w:p>
    <w:p>
      <w:pPr>
        <w:pStyle w:val="2"/>
        <w:jc w:val="center"/>
      </w:pPr>
      <w:r>
        <w:rPr>
          <w:sz w:val="20"/>
        </w:rPr>
        <w:t xml:space="preserve">ИНТЕГРАЦИИ ОБРАЗОВАТЕЛЬНЫХ ОРГАНИЗАЦИЙ ВЫСШЕГО ОБРАЗОВАНИЯ</w:t>
      </w:r>
    </w:p>
    <w:p>
      <w:pPr>
        <w:pStyle w:val="2"/>
        <w:jc w:val="center"/>
      </w:pPr>
      <w:r>
        <w:rPr>
          <w:sz w:val="20"/>
        </w:rPr>
        <w:t xml:space="preserve">И НАУЧНЫХ ОРГАНИЗАЦИЙ И ИХ КООПЕРАЦИИ С ОРГАНИЗАЦИЯМИ,</w:t>
      </w:r>
    </w:p>
    <w:p>
      <w:pPr>
        <w:pStyle w:val="2"/>
        <w:jc w:val="center"/>
      </w:pPr>
      <w:r>
        <w:rPr>
          <w:sz w:val="20"/>
        </w:rPr>
        <w:t xml:space="preserve">ДЕЙСТВУЮЩИМИ В РЕАЛЬНОМ СЕКТОРЕ ЭКОНОМИКИ</w:t>
      </w:r>
    </w:p>
    <w:p>
      <w:pPr>
        <w:pStyle w:val="0"/>
        <w:jc w:val="both"/>
      </w:pPr>
      <w:r>
        <w:rPr>
          <w:sz w:val="20"/>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bottom w:val="single" w:sz="4"/>
        </w:tblBorders>
        <w:tblCellMar>
          <w:top w:w="102" w:type="dxa"/>
          <w:left w:w="62" w:type="dxa"/>
          <w:bottom w:w="102" w:type="dxa"/>
          <w:right w:w="62" w:type="dxa"/>
        </w:tblCellMar>
      </w:tblPr>
      <w:tblGrid>
        <w:gridCol w:w="567"/>
        <w:gridCol w:w="2891"/>
        <w:gridCol w:w="1304"/>
        <w:gridCol w:w="1587"/>
        <w:gridCol w:w="6123"/>
      </w:tblGrid>
      <w:tr>
        <w:tblPrEx>
          <w:tblBorders>
            <w:insideV w:val="single" w:sz="4"/>
            <w:insideH w:val="single" w:sz="4"/>
          </w:tblBorders>
        </w:tblPrEx>
        <w:tc>
          <w:tcPr>
            <w:tcW w:w="567" w:type="dxa"/>
            <w:tcBorders>
              <w:top w:val="single" w:sz="4"/>
              <w:left w:val="nil"/>
              <w:bottom w:val="single" w:sz="4"/>
              <w:right w:val="nil"/>
            </w:tcBorders>
          </w:tcPr>
          <w:p>
            <w:pPr>
              <w:pStyle w:val="0"/>
            </w:pPr>
            <w:r>
              <w:rPr>
                <w:sz w:val="20"/>
              </w:rPr>
            </w:r>
          </w:p>
        </w:tc>
        <w:tc>
          <w:tcPr>
            <w:tcW w:w="2891" w:type="dxa"/>
            <w:tcBorders>
              <w:top w:val="single" w:sz="4"/>
              <w:left w:val="nil"/>
              <w:bottom w:val="single" w:sz="4"/>
            </w:tcBorders>
          </w:tcPr>
          <w:p>
            <w:pPr>
              <w:pStyle w:val="0"/>
              <w:jc w:val="center"/>
            </w:pPr>
            <w:r>
              <w:rPr>
                <w:sz w:val="20"/>
              </w:rPr>
              <w:t xml:space="preserve">Показатель критерия</w:t>
            </w:r>
          </w:p>
        </w:tc>
        <w:tc>
          <w:tcPr>
            <w:tcW w:w="1304" w:type="dxa"/>
            <w:tcBorders>
              <w:top w:val="single" w:sz="4"/>
              <w:bottom w:val="single" w:sz="4"/>
            </w:tcBorders>
          </w:tcPr>
          <w:p>
            <w:pPr>
              <w:pStyle w:val="0"/>
              <w:jc w:val="center"/>
            </w:pPr>
            <w:r>
              <w:rPr>
                <w:sz w:val="20"/>
              </w:rPr>
              <w:t xml:space="preserve">Единица измерения</w:t>
            </w:r>
          </w:p>
        </w:tc>
        <w:tc>
          <w:tcPr>
            <w:tcW w:w="1587" w:type="dxa"/>
            <w:tcBorders>
              <w:top w:val="single" w:sz="4"/>
              <w:bottom w:val="single" w:sz="4"/>
            </w:tcBorders>
          </w:tcPr>
          <w:p>
            <w:pPr>
              <w:pStyle w:val="0"/>
              <w:jc w:val="center"/>
            </w:pPr>
            <w:r>
              <w:rPr>
                <w:sz w:val="20"/>
              </w:rPr>
              <w:t xml:space="preserve">Тип расчета</w:t>
            </w:r>
          </w:p>
        </w:tc>
        <w:tc>
          <w:tcPr>
            <w:tcW w:w="6123" w:type="dxa"/>
            <w:tcBorders>
              <w:top w:val="single" w:sz="4"/>
              <w:bottom w:val="single" w:sz="4"/>
              <w:right w:val="nil"/>
            </w:tcBorders>
          </w:tcPr>
          <w:p>
            <w:pPr>
              <w:pStyle w:val="0"/>
              <w:jc w:val="center"/>
            </w:pPr>
            <w:r>
              <w:rPr>
                <w:sz w:val="20"/>
              </w:rPr>
              <w:t xml:space="preserve">Механизм расчета значения показателя критерия</w:t>
            </w:r>
          </w:p>
        </w:tc>
      </w:tr>
      <w:tr>
        <w:tc>
          <w:tcPr>
            <w:tcW w:w="567" w:type="dxa"/>
            <w:tcBorders>
              <w:top w:val="single" w:sz="4"/>
              <w:left w:val="nil"/>
              <w:bottom w:val="nil"/>
              <w:right w:val="nil"/>
            </w:tcBorders>
          </w:tcPr>
          <w:p>
            <w:pPr>
              <w:pStyle w:val="0"/>
              <w:jc w:val="center"/>
            </w:pPr>
            <w:r>
              <w:rPr>
                <w:sz w:val="20"/>
              </w:rPr>
              <w:t xml:space="preserve">1.</w:t>
            </w:r>
          </w:p>
        </w:tc>
        <w:tc>
          <w:tcPr>
            <w:tcW w:w="2891" w:type="dxa"/>
            <w:tcBorders>
              <w:top w:val="single" w:sz="4"/>
              <w:left w:val="nil"/>
              <w:bottom w:val="nil"/>
              <w:right w:val="nil"/>
            </w:tcBorders>
          </w:tcPr>
          <w:p>
            <w:pPr>
              <w:pStyle w:val="0"/>
            </w:pPr>
            <w:r>
              <w:rPr>
                <w:sz w:val="20"/>
              </w:rPr>
              <w:t xml:space="preserve">Объем выполненных работ и услуг, завершившихся изготовлением, предварительными и приемочными испытаниями опытного образца (опытной партии)</w:t>
            </w:r>
          </w:p>
        </w:tc>
        <w:tc>
          <w:tcPr>
            <w:tcW w:w="1304" w:type="dxa"/>
            <w:tcBorders>
              <w:top w:val="single" w:sz="4"/>
              <w:left w:val="nil"/>
              <w:bottom w:val="nil"/>
              <w:right w:val="nil"/>
            </w:tcBorders>
          </w:tcPr>
          <w:p>
            <w:pPr>
              <w:pStyle w:val="0"/>
            </w:pPr>
            <w:r>
              <w:rPr>
                <w:sz w:val="20"/>
              </w:rPr>
              <w:t xml:space="preserve">рублей</w:t>
            </w:r>
          </w:p>
        </w:tc>
        <w:tc>
          <w:tcPr>
            <w:tcW w:w="1587" w:type="dxa"/>
            <w:tcBorders>
              <w:top w:val="single" w:sz="4"/>
              <w:left w:val="nil"/>
              <w:bottom w:val="nil"/>
              <w:right w:val="nil"/>
            </w:tcBorders>
          </w:tcPr>
          <w:p>
            <w:pPr>
              <w:pStyle w:val="0"/>
            </w:pPr>
            <w:r>
              <w:rPr>
                <w:sz w:val="20"/>
              </w:rPr>
              <w:t xml:space="preserve">по направлениям деятельности центра</w:t>
            </w:r>
          </w:p>
        </w:tc>
        <w:tc>
          <w:tcPr>
            <w:tcW w:w="6123" w:type="dxa"/>
            <w:tcBorders>
              <w:top w:val="single" w:sz="4"/>
              <w:left w:val="nil"/>
              <w:bottom w:val="nil"/>
              <w:right w:val="nil"/>
            </w:tcBorders>
          </w:tcPr>
          <w:p>
            <w:pPr>
              <w:pStyle w:val="0"/>
            </w:pPr>
            <w:r>
              <w:rPr>
                <w:sz w:val="20"/>
              </w:rPr>
              <w:t xml:space="preserve">реализация программы деятельности центра признается эффективной, если по параметрам "Достижение плановых значений показателей, представленных в программе деятельности центра" и "Темп роста показателей, представленных в программе развития центра" значение больше или равно 100 процентам;</w:t>
            </w:r>
          </w:p>
          <w:p>
            <w:pPr>
              <w:pStyle w:val="0"/>
            </w:pPr>
            <w:r>
              <w:rPr>
                <w:sz w:val="20"/>
              </w:rPr>
              <w:t xml:space="preserve">реализация программы деятельности центра требует дополнительной проработки, если по одному из параметров значение меньше 100 процентов;</w:t>
            </w:r>
          </w:p>
          <w:p>
            <w:pPr>
              <w:pStyle w:val="0"/>
            </w:pPr>
            <w:r>
              <w:rPr>
                <w:sz w:val="20"/>
              </w:rPr>
              <w:t xml:space="preserve">реализация программы деятельности центра признается неэффективной, если по двум параметрам значение меньше 100 процентов</w:t>
            </w:r>
          </w:p>
        </w:tc>
      </w:tr>
      <w:tr>
        <w:tc>
          <w:tcPr>
            <w:tcW w:w="567" w:type="dxa"/>
            <w:tcBorders>
              <w:top w:val="nil"/>
              <w:left w:val="nil"/>
              <w:bottom w:val="nil"/>
              <w:right w:val="nil"/>
            </w:tcBorders>
          </w:tcPr>
          <w:p>
            <w:pPr>
              <w:pStyle w:val="0"/>
              <w:jc w:val="center"/>
            </w:pPr>
            <w:r>
              <w:rPr>
                <w:sz w:val="20"/>
              </w:rPr>
              <w:t xml:space="preserve">2.</w:t>
            </w:r>
          </w:p>
        </w:tc>
        <w:tc>
          <w:tcPr>
            <w:tcW w:w="2891" w:type="dxa"/>
            <w:tcBorders>
              <w:top w:val="nil"/>
              <w:left w:val="nil"/>
              <w:bottom w:val="nil"/>
              <w:right w:val="nil"/>
            </w:tcBorders>
          </w:tcPr>
          <w:p>
            <w:pPr>
              <w:pStyle w:val="0"/>
            </w:pPr>
            <w:r>
              <w:rPr>
                <w:sz w:val="20"/>
              </w:rPr>
              <w:t xml:space="preserve">Количество разработанных и переданных для внедрения в производство в организациях, действующих в реальном секторе экономики, конкурентоспособных технологий и высокотехнологичной продукции</w:t>
            </w:r>
          </w:p>
        </w:tc>
        <w:tc>
          <w:tcPr>
            <w:tcW w:w="1304" w:type="dxa"/>
            <w:tcBorders>
              <w:top w:val="nil"/>
              <w:left w:val="nil"/>
              <w:bottom w:val="nil"/>
              <w:right w:val="nil"/>
            </w:tcBorders>
          </w:tcPr>
          <w:p>
            <w:pPr>
              <w:pStyle w:val="0"/>
            </w:pPr>
            <w:r>
              <w:rPr>
                <w:sz w:val="20"/>
              </w:rPr>
              <w:t xml:space="preserve">единиц</w:t>
            </w:r>
          </w:p>
        </w:tc>
        <w:tc>
          <w:tcPr>
            <w:tcW w:w="1587" w:type="dxa"/>
            <w:tcBorders>
              <w:top w:val="nil"/>
              <w:left w:val="nil"/>
              <w:bottom w:val="nil"/>
              <w:right w:val="nil"/>
            </w:tcBorders>
          </w:tcPr>
          <w:p>
            <w:pPr>
              <w:pStyle w:val="0"/>
            </w:pPr>
            <w:r>
              <w:rPr>
                <w:sz w:val="20"/>
              </w:rPr>
              <w:t xml:space="preserve">по направлениям деятельности центра</w:t>
            </w:r>
          </w:p>
        </w:tc>
        <w:tc>
          <w:tcPr>
            <w:tcW w:w="6123" w:type="dxa"/>
            <w:tcBorders>
              <w:top w:val="nil"/>
              <w:left w:val="nil"/>
              <w:bottom w:val="nil"/>
              <w:right w:val="nil"/>
            </w:tcBorders>
          </w:tcPr>
          <w:p>
            <w:pPr>
              <w:pStyle w:val="0"/>
            </w:pPr>
            <w:r>
              <w:rPr>
                <w:sz w:val="20"/>
              </w:rPr>
              <w:t xml:space="preserve">реализация программы деятельности центра признается эффективной, если по параметрам "Достижение плановых значений показателей, представленных в программе деятельности центра" и "Темп роста показателей, представленных в программе развития центра" значение больше или равно 100 процентам;</w:t>
            </w:r>
          </w:p>
          <w:p>
            <w:pPr>
              <w:pStyle w:val="0"/>
            </w:pPr>
            <w:r>
              <w:rPr>
                <w:sz w:val="20"/>
              </w:rPr>
              <w:t xml:space="preserve">реализация программы деятельности центра требует дополнительной проработки, если по одному из параметров значение меньше 100 процентов;</w:t>
            </w:r>
          </w:p>
          <w:p>
            <w:pPr>
              <w:pStyle w:val="0"/>
            </w:pPr>
            <w:r>
              <w:rPr>
                <w:sz w:val="20"/>
              </w:rPr>
              <w:t xml:space="preserve">реализация программы деятельности центра признается неэффективной, если по двум параметрам значение меньше 100 процентов</w:t>
            </w:r>
          </w:p>
        </w:tc>
      </w:tr>
      <w:tr>
        <w:tc>
          <w:tcPr>
            <w:tcW w:w="567" w:type="dxa"/>
            <w:tcBorders>
              <w:top w:val="nil"/>
              <w:left w:val="nil"/>
              <w:bottom w:val="nil"/>
              <w:right w:val="nil"/>
            </w:tcBorders>
          </w:tcPr>
          <w:p>
            <w:pPr>
              <w:pStyle w:val="0"/>
              <w:jc w:val="center"/>
            </w:pPr>
            <w:r>
              <w:rPr>
                <w:sz w:val="20"/>
              </w:rPr>
              <w:t xml:space="preserve">3.</w:t>
            </w:r>
          </w:p>
        </w:tc>
        <w:tc>
          <w:tcPr>
            <w:tcW w:w="2891" w:type="dxa"/>
            <w:tcBorders>
              <w:top w:val="nil"/>
              <w:left w:val="nil"/>
              <w:bottom w:val="nil"/>
              <w:right w:val="nil"/>
            </w:tcBorders>
          </w:tcPr>
          <w:p>
            <w:pPr>
              <w:pStyle w:val="0"/>
            </w:pPr>
            <w:r>
              <w:rPr>
                <w:sz w:val="20"/>
              </w:rPr>
              <w:t xml:space="preserve">Доля новой и усовершенствованной высокотехнологичной продукции в общем объеме отгруженной продукции</w:t>
            </w:r>
          </w:p>
        </w:tc>
        <w:tc>
          <w:tcPr>
            <w:tcW w:w="1304" w:type="dxa"/>
            <w:tcBorders>
              <w:top w:val="nil"/>
              <w:left w:val="nil"/>
              <w:bottom w:val="nil"/>
              <w:right w:val="nil"/>
            </w:tcBorders>
          </w:tcPr>
          <w:p>
            <w:pPr>
              <w:pStyle w:val="0"/>
            </w:pPr>
            <w:r>
              <w:rPr>
                <w:sz w:val="20"/>
              </w:rPr>
              <w:t xml:space="preserve">процентов</w:t>
            </w:r>
          </w:p>
        </w:tc>
        <w:tc>
          <w:tcPr>
            <w:tcW w:w="1587" w:type="dxa"/>
            <w:tcBorders>
              <w:top w:val="nil"/>
              <w:left w:val="nil"/>
              <w:bottom w:val="nil"/>
              <w:right w:val="nil"/>
            </w:tcBorders>
          </w:tcPr>
          <w:p>
            <w:pPr>
              <w:pStyle w:val="0"/>
            </w:pPr>
            <w:r>
              <w:rPr>
                <w:sz w:val="20"/>
              </w:rPr>
              <w:t xml:space="preserve">по направлениям деятельности центра</w:t>
            </w:r>
          </w:p>
        </w:tc>
        <w:tc>
          <w:tcPr>
            <w:tcW w:w="6123" w:type="dxa"/>
            <w:tcBorders>
              <w:top w:val="nil"/>
              <w:left w:val="nil"/>
              <w:bottom w:val="nil"/>
              <w:right w:val="nil"/>
            </w:tcBorders>
          </w:tcPr>
          <w:p>
            <w:pPr>
              <w:pStyle w:val="0"/>
            </w:pPr>
            <w:r>
              <w:rPr>
                <w:sz w:val="20"/>
              </w:rPr>
              <w:t xml:space="preserve">реализация программы деятельности центра признается эффективной, если по параметрам "Достижение плановых значений показателей, представленных в программе деятельности центра" и "Темп роста показателей, представленных в программе развития центра" значение больше или равно 100 процентам;</w:t>
            </w:r>
          </w:p>
          <w:p>
            <w:pPr>
              <w:pStyle w:val="0"/>
            </w:pPr>
            <w:r>
              <w:rPr>
                <w:sz w:val="20"/>
              </w:rPr>
              <w:t xml:space="preserve">реализация программы деятельности центра требует дополнительной проработки, если по одному из параметров значение меньше 100 процентов;</w:t>
            </w:r>
          </w:p>
          <w:p>
            <w:pPr>
              <w:pStyle w:val="0"/>
            </w:pPr>
            <w:r>
              <w:rPr>
                <w:sz w:val="20"/>
              </w:rPr>
              <w:t xml:space="preserve">реализация программы деятельности центра признается неэффективной, если по двум параметрам значение меньше 100 процентов</w:t>
            </w:r>
          </w:p>
        </w:tc>
      </w:tr>
      <w:tr>
        <w:tc>
          <w:tcPr>
            <w:tcW w:w="567" w:type="dxa"/>
            <w:tcBorders>
              <w:top w:val="nil"/>
              <w:left w:val="nil"/>
              <w:bottom w:val="nil"/>
              <w:right w:val="nil"/>
            </w:tcBorders>
          </w:tcPr>
          <w:p>
            <w:pPr>
              <w:pStyle w:val="0"/>
              <w:jc w:val="center"/>
            </w:pPr>
            <w:r>
              <w:rPr>
                <w:sz w:val="20"/>
              </w:rPr>
              <w:t xml:space="preserve">4.</w:t>
            </w:r>
          </w:p>
        </w:tc>
        <w:tc>
          <w:tcPr>
            <w:tcW w:w="2891" w:type="dxa"/>
            <w:tcBorders>
              <w:top w:val="nil"/>
              <w:left w:val="nil"/>
              <w:bottom w:val="nil"/>
              <w:right w:val="nil"/>
            </w:tcBorders>
          </w:tcPr>
          <w:p>
            <w:pPr>
              <w:pStyle w:val="0"/>
            </w:pPr>
            <w:r>
              <w:rPr>
                <w:sz w:val="20"/>
              </w:rPr>
              <w:t xml:space="preserve">Количество новых высокотехнологических рабочих мест</w:t>
            </w:r>
          </w:p>
        </w:tc>
        <w:tc>
          <w:tcPr>
            <w:tcW w:w="1304" w:type="dxa"/>
            <w:tcBorders>
              <w:top w:val="nil"/>
              <w:left w:val="nil"/>
              <w:bottom w:val="nil"/>
              <w:right w:val="nil"/>
            </w:tcBorders>
          </w:tcPr>
          <w:p>
            <w:pPr>
              <w:pStyle w:val="0"/>
            </w:pPr>
            <w:r>
              <w:rPr>
                <w:sz w:val="20"/>
              </w:rPr>
              <w:t xml:space="preserve">единиц</w:t>
            </w:r>
          </w:p>
        </w:tc>
        <w:tc>
          <w:tcPr>
            <w:tcW w:w="1587" w:type="dxa"/>
            <w:tcBorders>
              <w:top w:val="nil"/>
              <w:left w:val="nil"/>
              <w:bottom w:val="nil"/>
              <w:right w:val="nil"/>
            </w:tcBorders>
          </w:tcPr>
          <w:p>
            <w:pPr>
              <w:pStyle w:val="0"/>
            </w:pPr>
            <w:r>
              <w:rPr>
                <w:sz w:val="20"/>
              </w:rPr>
              <w:t xml:space="preserve">по направлениям деятельности центра</w:t>
            </w:r>
          </w:p>
        </w:tc>
        <w:tc>
          <w:tcPr>
            <w:tcW w:w="6123" w:type="dxa"/>
            <w:tcBorders>
              <w:top w:val="nil"/>
              <w:left w:val="nil"/>
              <w:bottom w:val="nil"/>
              <w:right w:val="nil"/>
            </w:tcBorders>
          </w:tcPr>
          <w:p>
            <w:pPr>
              <w:pStyle w:val="0"/>
            </w:pPr>
            <w:r>
              <w:rPr>
                <w:sz w:val="20"/>
              </w:rPr>
              <w:t xml:space="preserve">реализация программы деятельности центра признается эффективной, если по параметрам "Достижение плановых значений показателей, представленных в программе деятельности центра" и "Темп роста показателей, представленных в программе развития центра" значение больше или равно 100 процентам;</w:t>
            </w:r>
          </w:p>
          <w:p>
            <w:pPr>
              <w:pStyle w:val="0"/>
            </w:pPr>
            <w:r>
              <w:rPr>
                <w:sz w:val="20"/>
              </w:rPr>
              <w:t xml:space="preserve">реализация программы деятельности центра требует дополнительной проработки, если по одному из параметров значение меньше 100 процентов;</w:t>
            </w:r>
          </w:p>
          <w:p>
            <w:pPr>
              <w:pStyle w:val="0"/>
            </w:pPr>
            <w:r>
              <w:rPr>
                <w:sz w:val="20"/>
              </w:rPr>
              <w:t xml:space="preserve">реализация программы деятельности центра признается неэффективной, если по двум параметрам значение меньше 100 процентов</w:t>
            </w:r>
          </w:p>
        </w:tc>
      </w:tr>
      <w:tr>
        <w:tc>
          <w:tcPr>
            <w:tcW w:w="567" w:type="dxa"/>
            <w:tcBorders>
              <w:top w:val="nil"/>
              <w:left w:val="nil"/>
              <w:bottom w:val="nil"/>
              <w:right w:val="nil"/>
            </w:tcBorders>
          </w:tcPr>
          <w:p>
            <w:pPr>
              <w:pStyle w:val="0"/>
              <w:jc w:val="center"/>
            </w:pPr>
            <w:r>
              <w:rPr>
                <w:sz w:val="20"/>
              </w:rPr>
              <w:t xml:space="preserve">5.</w:t>
            </w:r>
          </w:p>
        </w:tc>
        <w:tc>
          <w:tcPr>
            <w:tcW w:w="2891" w:type="dxa"/>
            <w:tcBorders>
              <w:top w:val="nil"/>
              <w:left w:val="nil"/>
              <w:bottom w:val="nil"/>
              <w:right w:val="nil"/>
            </w:tcBorders>
          </w:tcPr>
          <w:p>
            <w:pPr>
              <w:pStyle w:val="0"/>
            </w:pPr>
            <w:r>
              <w:rPr>
                <w:sz w:val="20"/>
              </w:rPr>
              <w:t xml:space="preserve">Наличие в субъекте Российской Федерации следующих инструментов развития:</w:t>
            </w:r>
          </w:p>
          <w:p>
            <w:pPr>
              <w:pStyle w:val="0"/>
            </w:pPr>
            <w:r>
              <w:rPr>
                <w:sz w:val="20"/>
              </w:rPr>
              <w:t xml:space="preserve">территории опережающего развития;</w:t>
            </w:r>
          </w:p>
          <w:p>
            <w:pPr>
              <w:pStyle w:val="0"/>
            </w:pPr>
            <w:r>
              <w:rPr>
                <w:sz w:val="20"/>
              </w:rPr>
              <w:t xml:space="preserve">особые экономические зоны;</w:t>
            </w:r>
          </w:p>
          <w:p>
            <w:pPr>
              <w:pStyle w:val="0"/>
            </w:pPr>
            <w:r>
              <w:rPr>
                <w:sz w:val="20"/>
              </w:rPr>
              <w:t xml:space="preserve">промышленные технопарки;</w:t>
            </w:r>
          </w:p>
          <w:p>
            <w:pPr>
              <w:pStyle w:val="0"/>
            </w:pPr>
            <w:r>
              <w:rPr>
                <w:sz w:val="20"/>
              </w:rPr>
              <w:t xml:space="preserve">индустриальные (промышленные) парки;</w:t>
            </w:r>
          </w:p>
          <w:p>
            <w:pPr>
              <w:pStyle w:val="0"/>
            </w:pPr>
            <w:r>
              <w:rPr>
                <w:sz w:val="20"/>
              </w:rPr>
              <w:t xml:space="preserve">промышленные кластеры;</w:t>
            </w:r>
          </w:p>
          <w:p>
            <w:pPr>
              <w:pStyle w:val="0"/>
            </w:pPr>
            <w:r>
              <w:rPr>
                <w:sz w:val="20"/>
              </w:rPr>
              <w:t xml:space="preserve">территориальные инновационные кластеры;</w:t>
            </w:r>
          </w:p>
          <w:p>
            <w:pPr>
              <w:pStyle w:val="0"/>
            </w:pPr>
            <w:r>
              <w:rPr>
                <w:sz w:val="20"/>
              </w:rPr>
              <w:t xml:space="preserve">инновационные научно-технологические центры</w:t>
            </w:r>
          </w:p>
        </w:tc>
        <w:tc>
          <w:tcPr>
            <w:tcW w:w="1304" w:type="dxa"/>
            <w:tcBorders>
              <w:top w:val="nil"/>
              <w:left w:val="nil"/>
              <w:bottom w:val="nil"/>
              <w:right w:val="nil"/>
            </w:tcBorders>
          </w:tcPr>
          <w:p>
            <w:pPr>
              <w:pStyle w:val="0"/>
            </w:pPr>
            <w:r>
              <w:rPr>
                <w:sz w:val="20"/>
              </w:rPr>
              <w:t xml:space="preserve">единиц</w:t>
            </w:r>
          </w:p>
        </w:tc>
        <w:tc>
          <w:tcPr>
            <w:tcW w:w="1587" w:type="dxa"/>
            <w:tcBorders>
              <w:top w:val="nil"/>
              <w:left w:val="nil"/>
              <w:bottom w:val="nil"/>
              <w:right w:val="nil"/>
            </w:tcBorders>
          </w:tcPr>
          <w:p>
            <w:pPr>
              <w:pStyle w:val="0"/>
            </w:pPr>
            <w:r>
              <w:rPr>
                <w:sz w:val="20"/>
              </w:rPr>
              <w:t xml:space="preserve">по субъекту Российской Федерации</w:t>
            </w:r>
          </w:p>
        </w:tc>
        <w:tc>
          <w:tcPr>
            <w:tcW w:w="6123" w:type="dxa"/>
            <w:tcBorders>
              <w:top w:val="nil"/>
              <w:left w:val="nil"/>
              <w:bottom w:val="nil"/>
              <w:right w:val="nil"/>
            </w:tcBorders>
          </w:tcPr>
          <w:p>
            <w:pPr>
              <w:pStyle w:val="0"/>
            </w:pPr>
            <w:r>
              <w:rPr>
                <w:sz w:val="20"/>
              </w:rPr>
              <w:t xml:space="preserve">реализация программы деятельности центра признается эффективной, если по параметрам "Достижение плановых значений показателей, представленных в программе деятельности центра" и "Темп роста показателей, представленных в программе развития центра" значение больше или равно 100 процентам;</w:t>
            </w:r>
          </w:p>
          <w:p>
            <w:pPr>
              <w:pStyle w:val="0"/>
            </w:pPr>
            <w:r>
              <w:rPr>
                <w:sz w:val="20"/>
              </w:rPr>
              <w:t xml:space="preserve">реализация программы деятельности центра требует дополнительной проработки, если по одному из параметров значение меньше 100 процентов;</w:t>
            </w:r>
          </w:p>
          <w:p>
            <w:pPr>
              <w:pStyle w:val="0"/>
            </w:pPr>
            <w:r>
              <w:rPr>
                <w:sz w:val="20"/>
              </w:rPr>
              <w:t xml:space="preserve">реализация программы деятельности центра признается неэффективной, если по двум параметрам значение меньше 100 процентов</w:t>
            </w:r>
          </w:p>
        </w:tc>
      </w:tr>
      <w:tr>
        <w:tc>
          <w:tcPr>
            <w:tcW w:w="567" w:type="dxa"/>
            <w:tcBorders>
              <w:top w:val="nil"/>
              <w:left w:val="nil"/>
              <w:bottom w:val="single" w:sz="4"/>
              <w:right w:val="nil"/>
            </w:tcBorders>
          </w:tcPr>
          <w:p>
            <w:pPr>
              <w:pStyle w:val="0"/>
              <w:jc w:val="center"/>
            </w:pPr>
            <w:r>
              <w:rPr>
                <w:sz w:val="20"/>
              </w:rPr>
              <w:t xml:space="preserve">6.</w:t>
            </w:r>
          </w:p>
        </w:tc>
        <w:tc>
          <w:tcPr>
            <w:tcW w:w="2891" w:type="dxa"/>
            <w:tcBorders>
              <w:top w:val="nil"/>
              <w:left w:val="nil"/>
              <w:bottom w:val="single" w:sz="4"/>
              <w:right w:val="nil"/>
            </w:tcBorders>
          </w:tcPr>
          <w:p>
            <w:pPr>
              <w:pStyle w:val="0"/>
            </w:pPr>
            <w:r>
              <w:rPr>
                <w:sz w:val="20"/>
              </w:rPr>
              <w:t xml:space="preserve">Доля внебюджетных средств в общем объеме финансового обеспечения программы деятельности центра</w:t>
            </w:r>
          </w:p>
        </w:tc>
        <w:tc>
          <w:tcPr>
            <w:tcW w:w="1304" w:type="dxa"/>
            <w:tcBorders>
              <w:top w:val="nil"/>
              <w:left w:val="nil"/>
              <w:bottom w:val="single" w:sz="4"/>
              <w:right w:val="nil"/>
            </w:tcBorders>
          </w:tcPr>
          <w:p>
            <w:pPr>
              <w:pStyle w:val="0"/>
            </w:pPr>
            <w:r>
              <w:rPr>
                <w:sz w:val="20"/>
              </w:rPr>
              <w:t xml:space="preserve">процент</w:t>
            </w:r>
          </w:p>
        </w:tc>
        <w:tc>
          <w:tcPr>
            <w:tcW w:w="1587" w:type="dxa"/>
            <w:tcBorders>
              <w:top w:val="nil"/>
              <w:left w:val="nil"/>
              <w:bottom w:val="single" w:sz="4"/>
              <w:right w:val="nil"/>
            </w:tcBorders>
          </w:tcPr>
          <w:p>
            <w:pPr>
              <w:pStyle w:val="0"/>
            </w:pPr>
            <w:r>
              <w:rPr>
                <w:sz w:val="20"/>
              </w:rPr>
              <w:t xml:space="preserve">по центру</w:t>
            </w:r>
          </w:p>
        </w:tc>
        <w:tc>
          <w:tcPr>
            <w:tcW w:w="6123" w:type="dxa"/>
            <w:tcBorders>
              <w:top w:val="nil"/>
              <w:left w:val="nil"/>
              <w:bottom w:val="single" w:sz="4"/>
              <w:right w:val="nil"/>
            </w:tcBorders>
          </w:tcPr>
          <w:p>
            <w:pPr>
              <w:pStyle w:val="0"/>
            </w:pPr>
            <w:r>
              <w:rPr>
                <w:sz w:val="20"/>
              </w:rPr>
              <w:t xml:space="preserve">реализация программы деятельности центра признается эффективной, если по параметрам "Достижение плановых значений показателей, представленных в программе деятельности центра" и "Темп роста показателей, представленных в программе развития центра" значение больше или равно 100 процентам;</w:t>
            </w:r>
          </w:p>
          <w:p>
            <w:pPr>
              <w:pStyle w:val="0"/>
            </w:pPr>
            <w:r>
              <w:rPr>
                <w:sz w:val="20"/>
              </w:rPr>
              <w:t xml:space="preserve">реализация программы деятельности центра требует дополнительной проработки, если по одному из параметров значение меньше 100 процентов;</w:t>
            </w:r>
          </w:p>
          <w:p>
            <w:pPr>
              <w:pStyle w:val="0"/>
            </w:pPr>
            <w:r>
              <w:rPr>
                <w:sz w:val="20"/>
              </w:rPr>
              <w:t xml:space="preserve">реализация программы деятельности центра признается неэффективной, если по двум параметрам значение меньше 100 процентов</w:t>
            </w:r>
          </w:p>
        </w:tc>
      </w:tr>
    </w:tbl>
    <w:p>
      <w:pPr>
        <w:sectPr>
          <w:headerReference w:type="default" r:id="rId83"/>
          <w:headerReference w:type="first" r:id="rId83"/>
          <w:footerReference w:type="default" r:id="rId84"/>
          <w:footerReference w:type="first" r:id="rId84"/>
          <w:pgSz w:w="16838" w:h="11906" w:orient="landscape"/>
          <w:pgMar w:top="1133" w:right="1440" w:bottom="566" w:left="1440" w:header="0" w:footer="0" w:gutter="0"/>
          <w:titlePg/>
        </w:sectPr>
      </w:pP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w:t>
      </w:r>
    </w:p>
    <w:p>
      <w:pPr>
        <w:pStyle w:val="0"/>
        <w:jc w:val="right"/>
      </w:pPr>
      <w:r>
        <w:rPr>
          <w:sz w:val="20"/>
        </w:rPr>
        <w:t xml:space="preserve">к Правилам предоставления грантов</w:t>
      </w:r>
    </w:p>
    <w:p>
      <w:pPr>
        <w:pStyle w:val="0"/>
        <w:jc w:val="right"/>
      </w:pPr>
      <w:r>
        <w:rPr>
          <w:sz w:val="20"/>
        </w:rPr>
        <w:t xml:space="preserve">в форме субсидий из федерального бюджета</w:t>
      </w:r>
    </w:p>
    <w:p>
      <w:pPr>
        <w:pStyle w:val="0"/>
        <w:jc w:val="right"/>
      </w:pPr>
      <w:r>
        <w:rPr>
          <w:sz w:val="20"/>
        </w:rPr>
        <w:t xml:space="preserve">на оказание государственной поддержки</w:t>
      </w:r>
    </w:p>
    <w:p>
      <w:pPr>
        <w:pStyle w:val="0"/>
        <w:jc w:val="right"/>
      </w:pPr>
      <w:r>
        <w:rPr>
          <w:sz w:val="20"/>
        </w:rPr>
        <w:t xml:space="preserve">научно-образовательных центров мирового</w:t>
      </w:r>
    </w:p>
    <w:p>
      <w:pPr>
        <w:pStyle w:val="0"/>
        <w:jc w:val="right"/>
      </w:pPr>
      <w:r>
        <w:rPr>
          <w:sz w:val="20"/>
        </w:rPr>
        <w:t xml:space="preserve">уровня на основе интеграции</w:t>
      </w:r>
    </w:p>
    <w:p>
      <w:pPr>
        <w:pStyle w:val="0"/>
        <w:jc w:val="right"/>
      </w:pPr>
      <w:r>
        <w:rPr>
          <w:sz w:val="20"/>
        </w:rPr>
        <w:t xml:space="preserve">образовательных организаций высшего</w:t>
      </w:r>
    </w:p>
    <w:p>
      <w:pPr>
        <w:pStyle w:val="0"/>
        <w:jc w:val="right"/>
      </w:pPr>
      <w:r>
        <w:rPr>
          <w:sz w:val="20"/>
        </w:rPr>
        <w:t xml:space="preserve">образования и научных организаций</w:t>
      </w:r>
    </w:p>
    <w:p>
      <w:pPr>
        <w:pStyle w:val="0"/>
        <w:jc w:val="right"/>
      </w:pPr>
      <w:r>
        <w:rPr>
          <w:sz w:val="20"/>
        </w:rPr>
        <w:t xml:space="preserve">и их кооперации с организациями,</w:t>
      </w:r>
    </w:p>
    <w:p>
      <w:pPr>
        <w:pStyle w:val="0"/>
        <w:jc w:val="right"/>
      </w:pPr>
      <w:r>
        <w:rPr>
          <w:sz w:val="20"/>
        </w:rPr>
        <w:t xml:space="preserve">действующими в реальном</w:t>
      </w:r>
    </w:p>
    <w:p>
      <w:pPr>
        <w:pStyle w:val="0"/>
        <w:jc w:val="right"/>
      </w:pPr>
      <w:r>
        <w:rPr>
          <w:sz w:val="20"/>
        </w:rPr>
        <w:t xml:space="preserve">секторе экономики</w:t>
      </w:r>
    </w:p>
    <w:p>
      <w:pPr>
        <w:pStyle w:val="0"/>
        <w:jc w:val="both"/>
      </w:pPr>
      <w:r>
        <w:rPr>
          <w:sz w:val="20"/>
        </w:rPr>
      </w:r>
    </w:p>
    <w:bookmarkStart w:id="644" w:name="P644"/>
    <w:bookmarkEnd w:id="644"/>
    <w:p>
      <w:pPr>
        <w:pStyle w:val="2"/>
        <w:jc w:val="center"/>
      </w:pPr>
      <w:r>
        <w:rPr>
          <w:sz w:val="20"/>
        </w:rPr>
        <w:t xml:space="preserve">МЕТОДИКА</w:t>
      </w:r>
    </w:p>
    <w:p>
      <w:pPr>
        <w:pStyle w:val="2"/>
        <w:jc w:val="center"/>
      </w:pPr>
      <w:r>
        <w:rPr>
          <w:sz w:val="20"/>
        </w:rPr>
        <w:t xml:space="preserve">ОЦЕНКИ ТЕМПОВ ПРИРОСТА ПОКАЗАТЕЛЕЙ РЕЗУЛЬТАТИВНОСТИ</w:t>
      </w:r>
    </w:p>
    <w:p>
      <w:pPr>
        <w:pStyle w:val="2"/>
        <w:jc w:val="center"/>
      </w:pPr>
      <w:r>
        <w:rPr>
          <w:sz w:val="20"/>
        </w:rPr>
        <w:t xml:space="preserve">ДЕЯТЕЛЬНОСТИ НАУЧНО-ОБРАЗОВАТЕЛЬНЫХ ЦЕНТРОВ МИРОВОГО УРОВНЯ</w:t>
      </w:r>
    </w:p>
    <w:p>
      <w:pPr>
        <w:pStyle w:val="2"/>
        <w:jc w:val="center"/>
      </w:pPr>
      <w:r>
        <w:rPr>
          <w:sz w:val="20"/>
        </w:rPr>
        <w:t xml:space="preserve">НА ОСНОВЕ ИНТЕГРАЦИИ ОБРАЗОВАТЕЛЬНЫХ ОРГАНИЗАЦИЙ ВЫСШЕГО</w:t>
      </w:r>
    </w:p>
    <w:p>
      <w:pPr>
        <w:pStyle w:val="2"/>
        <w:jc w:val="center"/>
      </w:pPr>
      <w:r>
        <w:rPr>
          <w:sz w:val="20"/>
        </w:rPr>
        <w:t xml:space="preserve">ОБРАЗОВАНИЯ И НАУЧНЫХ ОРГАНИЗАЦИЙ И ИХ КООПЕРАЦИИ</w:t>
      </w:r>
    </w:p>
    <w:p>
      <w:pPr>
        <w:pStyle w:val="2"/>
        <w:jc w:val="center"/>
      </w:pPr>
      <w:r>
        <w:rPr>
          <w:sz w:val="20"/>
        </w:rPr>
        <w:t xml:space="preserve">С ОРГАНИЗАЦИЯМИ, ДЕЙСТВУЮЩИМИ В РЕАЛЬНОМ</w:t>
      </w:r>
    </w:p>
    <w:p>
      <w:pPr>
        <w:pStyle w:val="2"/>
        <w:jc w:val="center"/>
      </w:pPr>
      <w:r>
        <w:rPr>
          <w:sz w:val="20"/>
        </w:rPr>
        <w:t xml:space="preserve">СЕКТОРЕ ЭКОНОМИКИ</w:t>
      </w:r>
    </w:p>
    <w:p>
      <w:pPr>
        <w:pStyle w:val="0"/>
        <w:jc w:val="both"/>
      </w:pPr>
      <w:r>
        <w:rPr>
          <w:sz w:val="20"/>
        </w:rPr>
      </w:r>
    </w:p>
    <w:p>
      <w:pPr>
        <w:pStyle w:val="0"/>
        <w:ind w:firstLine="540"/>
        <w:jc w:val="both"/>
      </w:pPr>
      <w:r>
        <w:rPr>
          <w:sz w:val="20"/>
        </w:rPr>
        <w:t xml:space="preserve">1. Оценка темпов прироста показателей результативности деятельности научно-образовательных центров мирового уровня на основе интеграции образовательных организаций высшего образования и научных организаций и их кооперации с организациями, действующими в реальном секторе экономики (далее - центр), с целью определения эффективности реализации программы деятельности центра проводится по двум параметрам:</w:t>
      </w:r>
    </w:p>
    <w:p>
      <w:pPr>
        <w:pStyle w:val="0"/>
        <w:spacing w:before="200" w:line-rule="auto"/>
        <w:ind w:firstLine="540"/>
        <w:jc w:val="both"/>
      </w:pPr>
      <w:r>
        <w:rPr>
          <w:sz w:val="20"/>
        </w:rPr>
        <w:t xml:space="preserve">а) достижение плановых значений показателей, представленных в программе деятельности центра.</w:t>
      </w:r>
    </w:p>
    <w:p>
      <w:pPr>
        <w:pStyle w:val="0"/>
        <w:spacing w:before="200" w:line-rule="auto"/>
        <w:ind w:firstLine="540"/>
        <w:jc w:val="both"/>
      </w:pPr>
      <w:r>
        <w:rPr>
          <w:sz w:val="20"/>
        </w:rPr>
        <w:t xml:space="preserve">Процент достижения планового значения i-го показателя (Т</w:t>
      </w:r>
      <w:r>
        <w:rPr>
          <w:sz w:val="20"/>
          <w:vertAlign w:val="subscript"/>
        </w:rPr>
        <w:t xml:space="preserve">iдпп</w:t>
      </w:r>
      <w:r>
        <w:rPr>
          <w:sz w:val="20"/>
        </w:rPr>
        <w:t xml:space="preserve">) определяется по формуле:</w:t>
      </w:r>
    </w:p>
    <w:p>
      <w:pPr>
        <w:pStyle w:val="0"/>
        <w:jc w:val="both"/>
      </w:pPr>
      <w:r>
        <w:rPr>
          <w:sz w:val="20"/>
        </w:rPr>
      </w:r>
    </w:p>
    <w:p>
      <w:pPr>
        <w:pStyle w:val="0"/>
        <w:jc w:val="center"/>
      </w:pPr>
      <w:r>
        <w:rPr>
          <w:position w:val="-26"/>
        </w:rPr>
        <w:drawing>
          <wp:inline distT="0" distB="0" distL="0" distR="0">
            <wp:extent cx="1323975" cy="4572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0">
                      <a:extLst>
                        <a:ext uri="{28A0092B-C50C-407E-A947-70E740481C1C}">
                          <a14:useLocalDpi xmlns:a14="http://schemas.microsoft.com/office/drawing/2010/main" val="0"/>
                        </a:ext>
                      </a:extLst>
                    </a:blip>
                    <a:srcRect/>
                    <a:stretch>
                      <a:fillRect/>
                    </a:stretch>
                  </pic:blipFill>
                  <pic:spPr bwMode="auto">
                    <a:xfrm>
                      <a:off x="0" y="0"/>
                      <a:ext cx="1323975" cy="457200"/>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Т</w:t>
      </w:r>
      <w:r>
        <w:rPr>
          <w:sz w:val="20"/>
          <w:vertAlign w:val="subscript"/>
        </w:rPr>
        <w:t xml:space="preserve">i фдп</w:t>
      </w:r>
      <w:r>
        <w:rPr>
          <w:sz w:val="20"/>
        </w:rPr>
        <w:t xml:space="preserve"> - фактическое значение i-го показателя за отчетный год;</w:t>
      </w:r>
    </w:p>
    <w:p>
      <w:pPr>
        <w:pStyle w:val="0"/>
        <w:spacing w:before="200" w:line-rule="auto"/>
        <w:ind w:firstLine="540"/>
        <w:jc w:val="both"/>
      </w:pPr>
      <w:r>
        <w:rPr>
          <w:sz w:val="20"/>
        </w:rPr>
        <w:t xml:space="preserve">Т</w:t>
      </w:r>
      <w:r>
        <w:rPr>
          <w:sz w:val="20"/>
          <w:vertAlign w:val="subscript"/>
        </w:rPr>
        <w:t xml:space="preserve">iпп</w:t>
      </w:r>
      <w:r>
        <w:rPr>
          <w:sz w:val="20"/>
        </w:rPr>
        <w:t xml:space="preserve"> - плановое значение i-го показателя на отчетный год;</w:t>
      </w:r>
    </w:p>
    <w:p>
      <w:pPr>
        <w:pStyle w:val="0"/>
        <w:spacing w:before="200" w:line-rule="auto"/>
        <w:ind w:firstLine="540"/>
        <w:jc w:val="both"/>
      </w:pPr>
      <w:r>
        <w:rPr>
          <w:sz w:val="20"/>
        </w:rPr>
        <w:t xml:space="preserve">б) темп роста i-го показателя (</w:t>
      </w:r>
      <w:r>
        <w:rPr>
          <w:position w:val="-8"/>
        </w:rPr>
        <w:drawing>
          <wp:inline distT="0" distB="0" distL="0" distR="0">
            <wp:extent cx="409575" cy="228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1">
                      <a:extLst>
                        <a:ext uri="{28A0092B-C50C-407E-A947-70E740481C1C}">
                          <a14:useLocalDpi xmlns:a14="http://schemas.microsoft.com/office/drawing/2010/main" val="0"/>
                        </a:ext>
                      </a:extLst>
                    </a:blip>
                    <a:srcRect/>
                    <a:stretch>
                      <a:fillRect/>
                    </a:stretch>
                  </pic:blipFill>
                  <pic:spPr bwMode="auto">
                    <a:xfrm>
                      <a:off x="0" y="0"/>
                      <a:ext cx="409575" cy="228600"/>
                    </a:xfrm>
                    <a:prstGeom prst="rect">
                      <a:avLst/>
                    </a:prstGeom>
                    <a:noFill/>
                    <a:ln>
                      <a:noFill/>
                    </a:ln>
                  </pic:spPr>
                </pic:pic>
              </a:graphicData>
            </a:graphic>
          </wp:inline>
        </w:drawing>
      </w:r>
      <w:r>
        <w:rPr>
          <w:sz w:val="20"/>
        </w:rPr>
        <w:t xml:space="preserve">), представленного в программе развития центра, определяется по формуле:</w:t>
      </w:r>
    </w:p>
    <w:p>
      <w:pPr>
        <w:pStyle w:val="0"/>
        <w:jc w:val="both"/>
      </w:pPr>
      <w:r>
        <w:rPr>
          <w:sz w:val="20"/>
        </w:rPr>
      </w:r>
    </w:p>
    <w:p>
      <w:pPr>
        <w:pStyle w:val="0"/>
        <w:jc w:val="center"/>
      </w:pPr>
      <w:r>
        <w:rPr>
          <w:position w:val="-26"/>
        </w:rPr>
        <w:drawing>
          <wp:inline distT="0" distB="0" distL="0" distR="0">
            <wp:extent cx="1476375" cy="4667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2">
                      <a:extLst>
                        <a:ext uri="{28A0092B-C50C-407E-A947-70E740481C1C}">
                          <a14:useLocalDpi xmlns:a14="http://schemas.microsoft.com/office/drawing/2010/main" val="0"/>
                        </a:ext>
                      </a:extLst>
                    </a:blip>
                    <a:srcRect/>
                    <a:stretch>
                      <a:fillRect/>
                    </a:stretch>
                  </pic:blipFill>
                  <pic:spPr bwMode="auto">
                    <a:xfrm>
                      <a:off x="0" y="0"/>
                      <a:ext cx="1476375" cy="466725"/>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Т</w:t>
      </w:r>
      <w:r>
        <w:rPr>
          <w:sz w:val="20"/>
          <w:vertAlign w:val="subscript"/>
        </w:rPr>
        <w:t xml:space="preserve">iфдп</w:t>
      </w:r>
      <w:r>
        <w:rPr>
          <w:sz w:val="20"/>
        </w:rPr>
        <w:t xml:space="preserve"> - фактическое значение i-го показателя за отчетный год;</w:t>
      </w:r>
    </w:p>
    <w:p>
      <w:pPr>
        <w:pStyle w:val="0"/>
        <w:spacing w:before="200" w:line-rule="auto"/>
        <w:ind w:firstLine="540"/>
        <w:jc w:val="both"/>
      </w:pPr>
      <w:r>
        <w:rPr>
          <w:sz w:val="20"/>
        </w:rPr>
        <w:t xml:space="preserve">Т</w:t>
      </w:r>
      <w:r>
        <w:rPr>
          <w:sz w:val="20"/>
          <w:vertAlign w:val="subscript"/>
        </w:rPr>
        <w:t xml:space="preserve">iфпгп</w:t>
      </w:r>
      <w:r>
        <w:rPr>
          <w:sz w:val="20"/>
        </w:rPr>
        <w:t xml:space="preserve"> - фактическое значение i-го показателя за год, предшествующий отчетному.</w:t>
      </w:r>
    </w:p>
    <w:p>
      <w:pPr>
        <w:pStyle w:val="0"/>
        <w:spacing w:before="200" w:line-rule="auto"/>
        <w:ind w:firstLine="540"/>
        <w:jc w:val="both"/>
      </w:pPr>
      <w:r>
        <w:rPr>
          <w:sz w:val="20"/>
        </w:rPr>
        <w:t xml:space="preserve">2. Реализация программы деятельности центра признается эффективной, если по двум параметрам значение больше или равно 100 процентам.</w:t>
      </w:r>
    </w:p>
    <w:p>
      <w:pPr>
        <w:pStyle w:val="0"/>
        <w:spacing w:before="200" w:line-rule="auto"/>
        <w:ind w:firstLine="540"/>
        <w:jc w:val="both"/>
      </w:pPr>
      <w:r>
        <w:rPr>
          <w:sz w:val="20"/>
        </w:rPr>
        <w:t xml:space="preserve">Реализация программы деятельности центра требует дополнительной проработки, если по одному из параметров значение меньше 100 процентов.</w:t>
      </w:r>
    </w:p>
    <w:p>
      <w:pPr>
        <w:pStyle w:val="0"/>
        <w:spacing w:before="200" w:line-rule="auto"/>
        <w:ind w:firstLine="540"/>
        <w:jc w:val="both"/>
      </w:pPr>
      <w:r>
        <w:rPr>
          <w:sz w:val="20"/>
        </w:rPr>
        <w:t xml:space="preserve">Реализация программы деятельности центра признается неэффективной, если по двум параметрам значение меньше 100 процентов.</w:t>
      </w:r>
    </w:p>
    <w:p>
      <w:pPr>
        <w:pStyle w:val="0"/>
        <w:jc w:val="center"/>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30.04.2019 N 537</w:t>
            <w:br/>
            <w:t>(ред. от 09.04.2022)</w:t>
            <w:br/>
            <w:t>"О мерах государственной поддержки научно-образо...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28.09.2022</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Правительства РФ от 30.04.2019 N 537</w:t>
            <w:br/>
            <w:t>(ред. от 09.04.2022)</w:t>
            <w:br/>
            <w:t>"О мерах государственной поддержки научно-образо...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28.09.2022</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consultantplus://offline/ref=58CE5885E9A9288FCE1BE173344CCA4AFA35C0A64D674CBFFCAFCAB9AB3093015FF48974CB30CF169AFA41276A003876215217E35F07B2DEM3sBG" TargetMode = "External"/>
	<Relationship Id="rId8" Type="http://schemas.openxmlformats.org/officeDocument/2006/relationships/hyperlink" Target="consultantplus://offline/ref=58CE5885E9A9288FCE1BE173344CCA4AFA35C5AA4B624CBFFCAFCAB9AB3093015FF48974CB30CF169BFA41276A003876215217E35F07B2DEM3sBG" TargetMode = "External"/>
	<Relationship Id="rId9" Type="http://schemas.openxmlformats.org/officeDocument/2006/relationships/hyperlink" Target="consultantplus://offline/ref=58CE5885E9A9288FCE1BE173344CCA4AFD32C1A249644CBFFCAFCAB9AB3093015FF48974CB30CF1697FA41276A003876215217E35F07B2DEM3sBG" TargetMode = "External"/>
	<Relationship Id="rId10" Type="http://schemas.openxmlformats.org/officeDocument/2006/relationships/hyperlink" Target="consultantplus://offline/ref=58CE5885E9A9288FCE1BE173344CCA4AFD3CC5AB4A614CBFFCAFCAB9AB3093015FF48974CB30CF1697FA41276A003876215217E35F07B2DEM3sBG" TargetMode = "External"/>
	<Relationship Id="rId11" Type="http://schemas.openxmlformats.org/officeDocument/2006/relationships/hyperlink" Target="consultantplus://offline/ref=58CE5885E9A9288FCE1BE173344CCA4AFA35C0A74B624CBFFCAFCAB9AB3093015FF48974CB30CF169BFA41276A003876215217E35F07B2DEM3sBG" TargetMode = "External"/>
	<Relationship Id="rId12" Type="http://schemas.openxmlformats.org/officeDocument/2006/relationships/hyperlink" Target="consultantplus://offline/ref=58CE5885E9A9288FCE1BE173344CCA4AFA35C0A64D674CBFFCAFCAB9AB3093015FF48974CB30CF1793FA41276A003876215217E35F07B2DEM3sBG" TargetMode = "External"/>
	<Relationship Id="rId13" Type="http://schemas.openxmlformats.org/officeDocument/2006/relationships/hyperlink" Target="consultantplus://offline/ref=58CE5885E9A9288FCE1BE173344CCA4AFD3CC5AB4A614CBFFCAFCAB9AB3093015FF48974CB30CF1792FA41276A003876215217E35F07B2DEM3sBG" TargetMode = "External"/>
	<Relationship Id="rId14" Type="http://schemas.openxmlformats.org/officeDocument/2006/relationships/hyperlink" Target="consultantplus://offline/ref=58CE5885E9A9288FCE1BE173344CCA4AFA35C0A74B624CBFFCAFCAB9AB3093015FF48974CB30CF169BFA41276A003876215217E35F07B2DEM3sBG" TargetMode = "External"/>
	<Relationship Id="rId15" Type="http://schemas.openxmlformats.org/officeDocument/2006/relationships/hyperlink" Target="consultantplus://offline/ref=58CE5885E9A9288FCE1BE173344CCA4AFA35C0A74B624CBFFCAFCAB9AB3093015FF48974CB30CF1792FA41276A003876215217E35F07B2DEM3sBG" TargetMode = "External"/>
	<Relationship Id="rId16" Type="http://schemas.openxmlformats.org/officeDocument/2006/relationships/hyperlink" Target="consultantplus://offline/ref=58CE5885E9A9288FCE1BE173344CCA4AFA35C0A74B624CBFFCAFCAB9AB3093015FF48974CB30CF1791FA41276A003876215217E35F07B2DEM3sBG" TargetMode = "External"/>
	<Relationship Id="rId17" Type="http://schemas.openxmlformats.org/officeDocument/2006/relationships/hyperlink" Target="consultantplus://offline/ref=58CE5885E9A9288FCE1BE173344CCA4AFA35C0A74B624CBFFCAFCAB9AB3093015FF48974CB30CF1796FA41276A003876215217E35F07B2DEM3sBG" TargetMode = "External"/>
	<Relationship Id="rId18" Type="http://schemas.openxmlformats.org/officeDocument/2006/relationships/hyperlink" Target="consultantplus://offline/ref=58CE5885E9A9288FCE1BE173344CCA4AFA35C0A74B624CBFFCAFCAB9AB3093015FF48974CB30CF1794FA41276A003876215217E35F07B2DEM3sBG" TargetMode = "External"/>
	<Relationship Id="rId19" Type="http://schemas.openxmlformats.org/officeDocument/2006/relationships/hyperlink" Target="consultantplus://offline/ref=58CE5885E9A9288FCE1BE86A334CCA4AF937CDA44B604CBFFCAFCAB9AB3093015FF48974CB30CF1793FA41276A003876215217E35F07B2DEM3sBG" TargetMode = "External"/>
	<Relationship Id="rId20" Type="http://schemas.openxmlformats.org/officeDocument/2006/relationships/hyperlink" Target="consultantplus://offline/ref=7423C2BDFD3076F14B49143B82F26592D908A166E8D8E47BCD122E6C242533EB80BA304A4914EF1973A9605D8F04D8E765437931057390BCN4s2G" TargetMode = "External"/>
	<Relationship Id="rId21" Type="http://schemas.openxmlformats.org/officeDocument/2006/relationships/hyperlink" Target="consultantplus://offline/ref=7423C2BDFD3076F14B49143B82F26592D908AC60EFDDE47BCD122E6C242533EB92BA68464B1CF1187DBC360CC9N5s3G" TargetMode = "External"/>
	<Relationship Id="rId22" Type="http://schemas.openxmlformats.org/officeDocument/2006/relationships/hyperlink" Target="consultantplus://offline/ref=7423C2BDFD3076F14B49143B82F26592D90BA161ECD6E47BCD122E6C242533EB92BA68464B1CF1187DBC360CC9N5s3G" TargetMode = "External"/>
	<Relationship Id="rId23" Type="http://schemas.openxmlformats.org/officeDocument/2006/relationships/hyperlink" Target="consultantplus://offline/ref=7423C2BDFD3076F14B49143B82F26592DE01AC65E8DDE47BCD122E6C242533EB92BA68464B1CF1187DBC360CC9N5s3G" TargetMode = "External"/>
	<Relationship Id="rId24" Type="http://schemas.openxmlformats.org/officeDocument/2006/relationships/hyperlink" Target="consultantplus://offline/ref=7423C2BDFD3076F14B49143B82F26592DF09A466E9D6E47BCD122E6C242533EB92BA68464B1CF1187DBC360CC9N5s3G" TargetMode = "External"/>
	<Relationship Id="rId25" Type="http://schemas.openxmlformats.org/officeDocument/2006/relationships/hyperlink" Target="consultantplus://offline/ref=7423C2BDFD3076F14B49143B82F26592DE0BAD6AE9DBE47BCD122E6C242533EB92BA68464B1CF1187DBC360CC9N5s3G" TargetMode = "External"/>
	<Relationship Id="rId26" Type="http://schemas.openxmlformats.org/officeDocument/2006/relationships/hyperlink" Target="consultantplus://offline/ref=7423C2BDFD3076F14B49143B82F26592D90BA763EBD9E47BCD122E6C242533EB92BA68464B1CF1187DBC360CC9N5s3G" TargetMode = "External"/>
	<Relationship Id="rId27" Type="http://schemas.openxmlformats.org/officeDocument/2006/relationships/hyperlink" Target="consultantplus://offline/ref=7423C2BDFD3076F14B49143B82F26592D908A166E8D8E47BCD122E6C242533EB80BA304A4914EF1A74A9605D8F04D8E765437931057390BCN4s2G" TargetMode = "External"/>
	<Relationship Id="rId28" Type="http://schemas.openxmlformats.org/officeDocument/2006/relationships/hyperlink" Target="consultantplus://offline/ref=7423C2BDFD3076F14B49143B82F26592D908A166E8D8E47BCD122E6C242533EB80BA304A4914EF1A75A9605D8F04D8E765437931057390BCN4s2G" TargetMode = "External"/>
	<Relationship Id="rId29" Type="http://schemas.openxmlformats.org/officeDocument/2006/relationships/hyperlink" Target="consultantplus://offline/ref=7423C2BDFD3076F14B49143B82F26592D908A166E8D8E47BCD122E6C242533EB80BA304A4914EF1A71A9605D8F04D8E765437931057390BCN4s2G" TargetMode = "External"/>
	<Relationship Id="rId30" Type="http://schemas.openxmlformats.org/officeDocument/2006/relationships/hyperlink" Target="consultantplus://offline/ref=7423C2BDFD3076F14B49143B82F26592D908A166E8D8E47BCD122E6C242533EB80BA304A4914EF1A73A9605D8F04D8E765437931057390BCN4s2G" TargetMode = "External"/>
	<Relationship Id="rId31" Type="http://schemas.openxmlformats.org/officeDocument/2006/relationships/hyperlink" Target="consultantplus://offline/ref=7423C2BDFD3076F14B49143B82F26592D908A166E8D8E47BCD122E6C242533EB80BA304A4914EF1A7CA9605D8F04D8E765437931057390BCN4s2G" TargetMode = "External"/>
	<Relationship Id="rId32" Type="http://schemas.openxmlformats.org/officeDocument/2006/relationships/hyperlink" Target="consultantplus://offline/ref=7423C2BDFD3076F14B49143B82F26592D908A166E8D8E47BCD122E6C242533EB80BA304A4914EF1B74A9605D8F04D8E765437931057390BCN4s2G" TargetMode = "External"/>
	<Relationship Id="rId33" Type="http://schemas.openxmlformats.org/officeDocument/2006/relationships/hyperlink" Target="consultantplus://offline/ref=7423C2BDFD3076F14B49143B82F26592D908A166E8D8E47BCD122E6C242533EB80BA304A4914EF1B76A9605D8F04D8E765437931057390BCN4s2G" TargetMode = "External"/>
	<Relationship Id="rId34" Type="http://schemas.openxmlformats.org/officeDocument/2006/relationships/hyperlink" Target="consultantplus://offline/ref=7423C2BDFD3076F14B49143B82F26592D908A166E8D8E47BCD122E6C242533EB80BA304A4914EF1B77A9605D8F04D8E765437931057390BCN4s2G" TargetMode = "External"/>
	<Relationship Id="rId35" Type="http://schemas.openxmlformats.org/officeDocument/2006/relationships/hyperlink" Target="consultantplus://offline/ref=7423C2BDFD3076F14B49143B82F26592D908A166E8D8E47BCD122E6C242533EB80BA304A4914EF1B71A9605D8F04D8E765437931057390BCN4s2G" TargetMode = "External"/>
	<Relationship Id="rId36" Type="http://schemas.openxmlformats.org/officeDocument/2006/relationships/hyperlink" Target="consultantplus://offline/ref=7423C2BDFD3076F14B49143B82F26592D908A166E8D8E47BCD122E6C242533EB80BA304A4914EF1B72A9605D8F04D8E765437931057390BCN4s2G" TargetMode = "External"/>
	<Relationship Id="rId37" Type="http://schemas.openxmlformats.org/officeDocument/2006/relationships/hyperlink" Target="consultantplus://offline/ref=7423C2BDFD3076F14B49143B82F26592D908A166E8D8E47BCD122E6C242533EB80BA304A4914EF1C7DA9605D8F04D8E765437931057390BCN4s2G" TargetMode = "External"/>
	<Relationship Id="rId38" Type="http://schemas.openxmlformats.org/officeDocument/2006/relationships/hyperlink" Target="consultantplus://offline/ref=7423C2BDFD3076F14B49143B82F26592D908A166E8D8E47BCD122E6C242533EB80BA304A4914EF1D74A9605D8F04D8E765437931057390BCN4s2G" TargetMode = "External"/>
	<Relationship Id="rId39" Type="http://schemas.openxmlformats.org/officeDocument/2006/relationships/hyperlink" Target="consultantplus://offline/ref=7423C2BDFD3076F14B49143B82F26592DF01A663EADCE47BCD122E6C242533EB80BA304E4240BE5C21AF3604D551DCFB6F5D7BN3sAG" TargetMode = "External"/>
	<Relationship Id="rId40" Type="http://schemas.openxmlformats.org/officeDocument/2006/relationships/hyperlink" Target="consultantplus://offline/ref=7423C2BDFD3076F14B49143B82F26592D908A166E8D8E47BCD122E6C242533EB80BA304A4914EF1D75A9605D8F04D8E765437931057390BCN4s2G" TargetMode = "External"/>
	<Relationship Id="rId41" Type="http://schemas.openxmlformats.org/officeDocument/2006/relationships/hyperlink" Target="consultantplus://offline/ref=7423C2BDFD3076F14B49143B82F26592D908A166E8D8E47BCD122E6C242533EB80BA304A4914EF1D76A9605D8F04D8E765437931057390BCN4s2G" TargetMode = "External"/>
	<Relationship Id="rId42" Type="http://schemas.openxmlformats.org/officeDocument/2006/relationships/hyperlink" Target="consultantplus://offline/ref=7423C2BDFD3076F14B49143B82F26592D908A166E8D8E47BCD122E6C242533EB80BA304A4914EF1D71A9605D8F04D8E765437931057390BCN4s2G" TargetMode = "External"/>
	<Relationship Id="rId43" Type="http://schemas.openxmlformats.org/officeDocument/2006/relationships/hyperlink" Target="consultantplus://offline/ref=7423C2BDFD3076F14B49143B82F26592DF01A663EADCE47BCD122E6C242533EB80BA304E4240BE5C21AF3604D551DCFB6F5D7BN3sAG" TargetMode = "External"/>
	<Relationship Id="rId44" Type="http://schemas.openxmlformats.org/officeDocument/2006/relationships/hyperlink" Target="consultantplus://offline/ref=7423C2BDFD3076F14B49143B82F26592D908A166E8D8E47BCD122E6C242533EB80BA304A4914EF1D72A9605D8F04D8E765437931057390BCN4s2G" TargetMode = "External"/>
	<Relationship Id="rId45" Type="http://schemas.openxmlformats.org/officeDocument/2006/relationships/hyperlink" Target="consultantplus://offline/ref=7423C2BDFD3076F14B49143B82F26592D908A166E8D8E47BCD122E6C242533EB80BA304A4914EF1D73A9605D8F04D8E765437931057390BCN4s2G" TargetMode = "External"/>
	<Relationship Id="rId46" Type="http://schemas.openxmlformats.org/officeDocument/2006/relationships/hyperlink" Target="consultantplus://offline/ref=7423C2BDFD3076F14B49143B82F26592D908A166E8D8E47BCD122E6C242533EB80BA304A4914EF1E74A9605D8F04D8E765437931057390BCN4s2G" TargetMode = "External"/>
	<Relationship Id="rId47" Type="http://schemas.openxmlformats.org/officeDocument/2006/relationships/hyperlink" Target="consultantplus://offline/ref=7423C2BDFD3076F14B49143B82F26592D908A166E8D8E47BCD122E6C242533EB80BA304A4914EF1E75A9605D8F04D8E765437931057390BCN4s2G" TargetMode = "External"/>
	<Relationship Id="rId48" Type="http://schemas.openxmlformats.org/officeDocument/2006/relationships/hyperlink" Target="consultantplus://offline/ref=7423C2BDFD3076F14B49143B82F26592D908A56AEAD9E47BCD122E6C242533EB80BA304A4914EA1F75A9605D8F04D8E765437931057390BCN4s2G" TargetMode = "External"/>
	<Relationship Id="rId49" Type="http://schemas.openxmlformats.org/officeDocument/2006/relationships/hyperlink" Target="consultantplus://offline/ref=7423C2BDFD3076F14B49143B82F26592D908A166E8D8E47BCD122E6C242533EB80BA304A4914EF1E77A9605D8F04D8E765437931057390BCN4s2G" TargetMode = "External"/>
	<Relationship Id="rId50" Type="http://schemas.openxmlformats.org/officeDocument/2006/relationships/hyperlink" Target="consultantplus://offline/ref=7423C2BDFD3076F14B49143B82F26592D908A166E8D8E47BCD122E6C242533EB80BA304A4914EF1E7DA9605D8F04D8E765437931057390BCN4s2G" TargetMode = "External"/>
	<Relationship Id="rId51" Type="http://schemas.openxmlformats.org/officeDocument/2006/relationships/hyperlink" Target="consultantplus://offline/ref=7423C2BDFD3076F14B49143B82F26592D908A166E8D8E47BCD122E6C242533EB80BA304A4914EF1F76A9605D8F04D8E765437931057390BCN4s2G" TargetMode = "External"/>
	<Relationship Id="rId52" Type="http://schemas.openxmlformats.org/officeDocument/2006/relationships/hyperlink" Target="consultantplus://offline/ref=7423C2BDFD3076F14B49143B82F26592D908A166E8D8E47BCD122E6C242533EB80BA304A4914EF1F72A9605D8F04D8E765437931057390BCN4s2G" TargetMode = "External"/>
	<Relationship Id="rId53" Type="http://schemas.openxmlformats.org/officeDocument/2006/relationships/hyperlink" Target="consultantplus://offline/ref=7423C2BDFD3076F14B49143B82F26592D908A166E8D8E47BCD122E6C242533EB80BA304A4914EF1F73A9605D8F04D8E765437931057390BCN4s2G" TargetMode = "External"/>
	<Relationship Id="rId54" Type="http://schemas.openxmlformats.org/officeDocument/2006/relationships/hyperlink" Target="consultantplus://offline/ref=7423C2BDFD3076F14B49143B82F26592D908A166E8D8E47BCD122E6C242533EB80BA304A4914EF1F7CA9605D8F04D8E765437931057390BCN4s2G" TargetMode = "External"/>
	<Relationship Id="rId55" Type="http://schemas.openxmlformats.org/officeDocument/2006/relationships/hyperlink" Target="consultantplus://offline/ref=7423C2BDFD3076F14B49143B82F26592D908A166E8D8E47BCD122E6C242533EB80BA304A4914EF1F7DA9605D8F04D8E765437931057390BCN4s2G" TargetMode = "External"/>
	<Relationship Id="rId56" Type="http://schemas.openxmlformats.org/officeDocument/2006/relationships/hyperlink" Target="consultantplus://offline/ref=7423C2BDFD3076F14B49143B82F26592D908A166E8D8E47BCD122E6C242533EB80BA304A4914EF1075A9605D8F04D8E765437931057390BCN4s2G" TargetMode = "External"/>
	<Relationship Id="rId57" Type="http://schemas.openxmlformats.org/officeDocument/2006/relationships/image" Target="media/image2.wmf"/>
	<Relationship Id="rId58" Type="http://schemas.openxmlformats.org/officeDocument/2006/relationships/hyperlink" Target="consultantplus://offline/ref=7423C2BDFD3076F14B49143B82F26592D908A166E8D8E47BCD122E6C242533EB80BA304A4914EF1077A9605D8F04D8E765437931057390BCN4s2G" TargetMode = "External"/>
	<Relationship Id="rId59" Type="http://schemas.openxmlformats.org/officeDocument/2006/relationships/hyperlink" Target="consultantplus://offline/ref=7423C2BDFD3076F14B49143B82F26592D908A166E8D8E47BCD122E6C242533EB80BA304A4914EF1174A9605D8F04D8E765437931057390BCN4s2G" TargetMode = "External"/>
	<Relationship Id="rId60" Type="http://schemas.openxmlformats.org/officeDocument/2006/relationships/hyperlink" Target="consultantplus://offline/ref=7423C2BDFD3076F14B49143B82F26592DE00A366EED7E47BCD122E6C242533EB80BA304A4914EF1872A9605D8F04D8E765437931057390BCN4s2G" TargetMode = "External"/>
	<Relationship Id="rId61" Type="http://schemas.openxmlformats.org/officeDocument/2006/relationships/hyperlink" Target="consultantplus://offline/ref=7423C2BDFD3076F14B49143B82F26592D908A166E8D8E47BCD122E6C242533EB80BA304A4914EF1175A9605D8F04D8E765437931057390BCN4s2G" TargetMode = "External"/>
	<Relationship Id="rId62" Type="http://schemas.openxmlformats.org/officeDocument/2006/relationships/hyperlink" Target="consultantplus://offline/ref=7423C2BDFD3076F14B49143B82F26592D908A166E8D8E47BCD122E6C242533EB80BA304A4914EF1176A9605D8F04D8E765437931057390BCN4s2G" TargetMode = "External"/>
	<Relationship Id="rId63" Type="http://schemas.openxmlformats.org/officeDocument/2006/relationships/hyperlink" Target="consultantplus://offline/ref=7423C2BDFD3076F14B49143B82F26592DF01A663EADCE47BCD122E6C242533EB80BA304E4240BE5C21AF3604D551DCFB6F5D7BN3sAG" TargetMode = "External"/>
	<Relationship Id="rId64" Type="http://schemas.openxmlformats.org/officeDocument/2006/relationships/hyperlink" Target="consultantplus://offline/ref=7423C2BDFD3076F14B49143B82F26592D908A166E8D8E47BCD122E6C242533EB80BA304A4914EF1177A9605D8F04D8E765437931057390BCN4s2G" TargetMode = "External"/>
	<Relationship Id="rId65" Type="http://schemas.openxmlformats.org/officeDocument/2006/relationships/hyperlink" Target="consultantplus://offline/ref=7423C2BDFD3076F14B49143B82F26592DF01A663EADCE47BCD122E6C242533EB80BA304E4240BE5C21AF3604D551DCFB6F5D7BN3sAG" TargetMode = "External"/>
	<Relationship Id="rId66" Type="http://schemas.openxmlformats.org/officeDocument/2006/relationships/hyperlink" Target="consultantplus://offline/ref=7423C2BDFD3076F14B49143B82F26592D908A166E8D8E47BCD122E6C242533EB80BA304A4914EF1170A9605D8F04D8E765437931057390BCN4s2G" TargetMode = "External"/>
	<Relationship Id="rId67" Type="http://schemas.openxmlformats.org/officeDocument/2006/relationships/hyperlink" Target="consultantplus://offline/ref=7423C2BDFD3076F14B49143B82F26592D908A166E8D8E47BCD122E6C242533EB80BA304A4914EF1172A9605D8F04D8E765437931057390BCN4s2G" TargetMode = "External"/>
	<Relationship Id="rId68" Type="http://schemas.openxmlformats.org/officeDocument/2006/relationships/hyperlink" Target="consultantplus://offline/ref=7423C2BDFD3076F14B49143B82F26592D908A166E8D8E47BCD122E6C242533EB80BA304A4914EF117CA9605D8F04D8E765437931057390BCN4s2G" TargetMode = "External"/>
	<Relationship Id="rId69" Type="http://schemas.openxmlformats.org/officeDocument/2006/relationships/hyperlink" Target="consultantplus://offline/ref=7423C2BDFD3076F14B49143B82F26592D908A166E8D8E47BCD122E6C242533EB80BA304A4914EF117DA9605D8F04D8E765437931057390BCN4s2G" TargetMode = "External"/>
	<Relationship Id="rId70" Type="http://schemas.openxmlformats.org/officeDocument/2006/relationships/hyperlink" Target="consultantplus://offline/ref=7423C2BDFD3076F14B49143B82F26592D908A166E8D8E47BCD122E6C242533EB80BA304A4914EE1874A9605D8F04D8E765437931057390BCN4s2G" TargetMode = "External"/>
	<Relationship Id="rId71" Type="http://schemas.openxmlformats.org/officeDocument/2006/relationships/hyperlink" Target="consultantplus://offline/ref=7423C2BDFD3076F14B49143B82F26592D908A166E8D8E47BCD122E6C242533EB80BA304A4914EE1876A9605D8F04D8E765437931057390BCN4s2G" TargetMode = "External"/>
	<Relationship Id="rId72" Type="http://schemas.openxmlformats.org/officeDocument/2006/relationships/hyperlink" Target="consultantplus://offline/ref=7423C2BDFD3076F14B49143B82F26592D908A166E8D8E47BCD122E6C242533EB80BA304A4914EE1877A9605D8F04D8E765437931057390BCN4s2G" TargetMode = "External"/>
	<Relationship Id="rId73" Type="http://schemas.openxmlformats.org/officeDocument/2006/relationships/hyperlink" Target="consultantplus://offline/ref=7423C2BDFD3076F14B49143B82F26592D908A166E8D8E47BCD122E6C242533EB80BA304A4914EE1870A9605D8F04D8E765437931057390BCN4s2G" TargetMode = "External"/>
	<Relationship Id="rId74" Type="http://schemas.openxmlformats.org/officeDocument/2006/relationships/hyperlink" Target="consultantplus://offline/ref=7423C2BDFD3076F14B49143B82F26592D908A166E8D8E47BCD122E6C242533EB80BA304A4914EE1871A9605D8F04D8E765437931057390BCN4s2G" TargetMode = "External"/>
	<Relationship Id="rId75" Type="http://schemas.openxmlformats.org/officeDocument/2006/relationships/hyperlink" Target="consultantplus://offline/ref=7423C2BDFD3076F14B49143B82F26592D909A566EBD7E47BCD122E6C242533EB80BA304A4914EF1977A9605D8F04D8E765437931057390BCN4s2G" TargetMode = "External"/>
	<Relationship Id="rId76" Type="http://schemas.openxmlformats.org/officeDocument/2006/relationships/hyperlink" Target="consultantplus://offline/ref=7423C2BDFD3076F14B49143B82F26592D908A166E8D8E47BCD122E6C242533EB80BA304A4914EE1872A9605D8F04D8E765437931057390BCN4s2G" TargetMode = "External"/>
	<Relationship Id="rId77" Type="http://schemas.openxmlformats.org/officeDocument/2006/relationships/hyperlink" Target="consultantplus://offline/ref=7423C2BDFD3076F14B49143B82F26592D908A166E8D8E47BCD122E6C242533EB80BA304A4914EE187CA9605D8F04D8E765437931057390BCN4s2G" TargetMode = "External"/>
	<Relationship Id="rId78" Type="http://schemas.openxmlformats.org/officeDocument/2006/relationships/hyperlink" Target="consultantplus://offline/ref=7423C2BDFD3076F14B49143B82F26592D908A166E8D8E47BCD122E6C242533EB80BA304A4914EE187DA9605D8F04D8E765437931057390BCN4s2G" TargetMode = "External"/>
	<Relationship Id="rId79" Type="http://schemas.openxmlformats.org/officeDocument/2006/relationships/image" Target="media/image3.wmf"/>
	<Relationship Id="rId80" Type="http://schemas.openxmlformats.org/officeDocument/2006/relationships/hyperlink" Target="consultantplus://offline/ref=7423C2BDFD3076F14B49143B82F26592D908A166E8D8E47BCD122E6C242533EB80BA304A4914EE1974A9605D8F04D8E765437931057390BCN4s2G" TargetMode = "External"/>
	<Relationship Id="rId81" Type="http://schemas.openxmlformats.org/officeDocument/2006/relationships/hyperlink" Target="consultantplus://offline/ref=7423C2BDFD3076F14B49143B82F26592D908A166E8D8E47BCD122E6C242533EB80BA304A4914EE1975A9605D8F04D8E765437931057390BCN4s2G" TargetMode = "External"/>
	<Relationship Id="rId82" Type="http://schemas.openxmlformats.org/officeDocument/2006/relationships/hyperlink" Target="consultantplus://offline/ref=7423C2BDFD3076F14B49143B82F26592D908A166E8D8E47BCD122E6C242533EB80BA304A4914EE1972A9605D8F04D8E765437931057390BCN4s2G" TargetMode = "External"/>
	<Relationship Id="rId83" Type="http://schemas.openxmlformats.org/officeDocument/2006/relationships/header" Target="header2.xml"/>
	<Relationship Id="rId84" Type="http://schemas.openxmlformats.org/officeDocument/2006/relationships/footer" Target="footer2.xml"/>
	<Relationship Id="rId85" Type="http://schemas.openxmlformats.org/officeDocument/2006/relationships/hyperlink" Target="consultantplus://offline/ref=7423C2BDFD3076F14B49143B82F26592D90BA263EED9E47BCD122E6C242533EB80BA304A4240BE5C21AF3604D551DCFB6F5D7BN3sAG" TargetMode = "External"/>
	<Relationship Id="rId86" Type="http://schemas.openxmlformats.org/officeDocument/2006/relationships/hyperlink" Target="consultantplus://offline/ref=7423C2BDFD3076F14B49143B82F26592D90BA566EBD7E47BCD122E6C242533EB80BA304A4914EF187DA9605D8F04D8E765437931057390BCN4s2G" TargetMode = "External"/>
	<Relationship Id="rId87" Type="http://schemas.openxmlformats.org/officeDocument/2006/relationships/hyperlink" Target="consultantplus://offline/ref=7423C2BDFD3076F14B49143B82F26592D90BA566EBD7E47BCD122E6C242533EB80BA304A4916EE1D75A9605D8F04D8E765437931057390BCN4s2G" TargetMode = "External"/>
	<Relationship Id="rId88" Type="http://schemas.openxmlformats.org/officeDocument/2006/relationships/hyperlink" Target="consultantplus://offline/ref=7423C2BDFD3076F14B49143B82F26592D90BA566EBD7E47BCD122E6C242533EB80BA304A4914ED1175A9605D8F04D8E765437931057390BCN4s2G" TargetMode = "External"/>
	<Relationship Id="rId89" Type="http://schemas.openxmlformats.org/officeDocument/2006/relationships/hyperlink" Target="consultantplus://offline/ref=7423C2BDFD3076F14B49143B82F26592D90BA566EBD7E47BCD122E6C242533EB80BA304A4916EE1F77A9605D8F04D8E765437931057390BCN4s2G" TargetMode = "External"/>
	<Relationship Id="rId90" Type="http://schemas.openxmlformats.org/officeDocument/2006/relationships/image" Target="media/image4.wmf"/>
	<Relationship Id="rId91" Type="http://schemas.openxmlformats.org/officeDocument/2006/relationships/image" Target="media/image5.wmf"/>
	<Relationship Id="rId92" Type="http://schemas.openxmlformats.org/officeDocument/2006/relationships/image" Target="media/image6.wmf"/>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foot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4022.00.21</Application>
  <Company>КонсультантПлюс Версия 4022.00.21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30.04.2019 N 537
(ред. от 09.04.2022)
"О мерах государственной поддержки научно-образовательных центров мирового уровня на основе интеграции образовательных организаций высшего образования и научных организаций и их кооперации с организациями, действующими в реальном секторе экономики"
(вместе с "Правилами предоставления грантов в форме субсидий из федерального бюджета на оказание государственной поддержки научно-образовательных центров мирового уровня на основе интеграции </dc:title>
  <dcterms:created xsi:type="dcterms:W3CDTF">2022-09-28T06:44:12Z</dcterms:created>
</cp:coreProperties>
</file>